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F"/>
          <w:sz w:val="56"/>
          <w:szCs w:val="56"/>
        </w:rPr>
        <w:t xml:space="preserve">RetailBrain AI</w:t>
      </w:r>
    </w:p>
    <w:p>
      <w:pPr>
        <w:spacing w:after="400"/>
        <w:jc w:val="center"/>
      </w:pPr>
      <w:r>
        <w:rPr>
          <w:color w:val="595959"/>
          <w:sz w:val="28"/>
          <w:szCs w:val="28"/>
        </w:rPr>
        <w:t xml:space="preserve">AI-Powered Retail Profit Optimization &amp; Decision Support System</w:t>
      </w:r>
    </w:p>
    <w:p>
      <w:pPr>
        <w:spacing w:before="800"/>
        <w:jc w:val="center"/>
      </w:pPr>
      <w:r>
        <w:rPr>
          <w:i/>
          <w:iCs/>
          <w:sz w:val="24"/>
          <w:szCs w:val="24"/>
        </w:rPr>
        <w:t xml:space="preserve">Project Implementation Report</w:t>
      </w:r>
    </w:p>
    <w:p>
      <w:pPr>
        <w:spacing w:before="1600"/>
        <w:jc w:val="center"/>
      </w:pPr>
      <w:r>
        <w:rPr>
          <w:sz w:val="20"/>
          <w:szCs w:val="20"/>
        </w:rPr>
        <w:t xml:space="preserve">Central Retail Intelligence Platform for Demand Forecasting,</w:t>
      </w:r>
    </w:p>
    <w:p>
      <w:pPr>
        <w:jc w:val="center"/>
      </w:pPr>
      <w:r>
        <w:rPr>
          <w:sz w:val="20"/>
          <w:szCs w:val="20"/>
        </w:rPr>
        <w:t xml:space="preserve">Inventory Optimization, Supplier Selection &amp; Profit Maximization</w:t>
      </w:r>
    </w:p>
    <w:p>
      <w:pPr>
        <w:spacing w:before="3200"/>
        <w:jc w:val="center"/>
      </w:pPr>
      <w:r>
        <w:rPr>
          <w:color w:val="595959"/>
          <w:sz w:val="20"/>
          <w:szCs w:val="20"/>
        </w:rPr>
        <w:t xml:space="preserve">July 2026</w:t>
      </w:r>
    </w:p>
    <w:p>
      <w:r>
        <w:br w:type="page"/>
      </w:r>
    </w:p>
    <w:p>
      <w:pPr>
        <w:pStyle w:val="Heading1"/>
        <w:spacing w:after="160" w:before="360"/>
      </w:pPr>
      <w:r>
        <w:t xml:space="preserve">Table of Contents</w:t>
      </w:r>
    </w:p>
    <w:p>
      <w:pPr>
        <w:spacing w:after="140"/>
      </w:pPr>
      <w:r>
        <w:rPr>
          <w:sz w:val="23"/>
          <w:szCs w:val="23"/>
        </w:rPr>
        <w:t xml:space="preserve">1. Executive Summary</w:t>
      </w:r>
    </w:p>
    <w:p>
      <w:pPr>
        <w:spacing w:after="140"/>
      </w:pPr>
      <w:r>
        <w:rPr>
          <w:sz w:val="23"/>
          <w:szCs w:val="23"/>
        </w:rPr>
        <w:t xml:space="preserve">2. Problem Statement</w:t>
      </w:r>
    </w:p>
    <w:p>
      <w:pPr>
        <w:spacing w:after="140"/>
      </w:pPr>
      <w:r>
        <w:rPr>
          <w:sz w:val="23"/>
          <w:szCs w:val="23"/>
        </w:rPr>
        <w:t xml:space="preserve">3. Target User</w:t>
      </w:r>
    </w:p>
    <w:p>
      <w:pPr>
        <w:spacing w:after="140"/>
      </w:pPr>
      <w:r>
        <w:rPr>
          <w:sz w:val="23"/>
          <w:szCs w:val="23"/>
        </w:rPr>
        <w:t xml:space="preserve">4. System Architecture</w:t>
      </w:r>
    </w:p>
    <w:p>
      <w:pPr>
        <w:spacing w:after="140"/>
      </w:pPr>
      <w:r>
        <w:rPr>
          <w:sz w:val="23"/>
          <w:szCs w:val="23"/>
        </w:rPr>
        <w:t xml:space="preserve">5. Datasets Used</w:t>
      </w:r>
    </w:p>
    <w:p>
      <w:pPr>
        <w:spacing w:after="140"/>
      </w:pPr>
      <w:r>
        <w:rPr>
          <w:sz w:val="23"/>
          <w:szCs w:val="23"/>
        </w:rPr>
        <w:t xml:space="preserve">6. Methodology</w:t>
      </w:r>
    </w:p>
    <w:p>
      <w:pPr>
        <w:spacing w:after="140"/>
      </w:pPr>
      <w:r>
        <w:rPr>
          <w:sz w:val="23"/>
          <w:szCs w:val="23"/>
        </w:rPr>
        <w:t xml:space="preserve">7. Sample Output</w:t>
      </w:r>
    </w:p>
    <w:p>
      <w:pPr>
        <w:spacing w:after="140"/>
      </w:pPr>
      <w:r>
        <w:rPr>
          <w:sz w:val="23"/>
          <w:szCs w:val="23"/>
        </w:rPr>
        <w:t xml:space="preserve">8. Technology Stack</w:t>
      </w:r>
    </w:p>
    <w:p>
      <w:pPr>
        <w:spacing w:after="140"/>
      </w:pPr>
      <w:r>
        <w:rPr>
          <w:sz w:val="23"/>
          <w:szCs w:val="23"/>
        </w:rPr>
        <w:t xml:space="preserve">9. Limitations &amp; Future Work</w:t>
      </w:r>
    </w:p>
    <w:p>
      <w:pPr>
        <w:spacing w:after="140"/>
      </w:pPr>
      <w:r>
        <w:rPr>
          <w:sz w:val="23"/>
          <w:szCs w:val="23"/>
        </w:rPr>
        <w:t xml:space="preserve">10. Conclusion</w:t>
      </w:r>
    </w:p>
    <w:p>
      <w:r>
        <w:br w:type="page"/>
      </w:r>
    </w:p>
    <w:p>
      <w:pPr>
        <w:pStyle w:val="Heading1"/>
        <w:spacing w:after="160" w:before="360"/>
      </w:pPr>
      <w:r>
        <w:t xml:space="preserve">1. Executive Summary</w:t>
      </w:r>
    </w:p>
    <w:p>
      <w:pPr>
        <w:spacing w:after="160" w:line="276"/>
      </w:pPr>
      <w:r>
        <w:rPr>
          <w:sz w:val="22"/>
          <w:szCs w:val="22"/>
        </w:rPr>
        <w:t xml:space="preserve">RetailBrain AI is an end-to-end retail intelligence system built to help a central operations/procurement team maximize profit across a network of 100 stores and 35 SKUs. The system was implemented and validated on two years of real transactional data (Jan 2024 – Dec 2025, 2.48 million cleaned sales records) spanning products, stores, inventory, suppliers, and procurement history.</w:t>
      </w:r>
    </w:p>
    <w:p>
      <w:pPr>
        <w:spacing w:after="160" w:line="276"/>
      </w:pPr>
      <w:r>
        <w:rPr>
          <w:sz w:val="22"/>
          <w:szCs w:val="22"/>
        </w:rPr>
        <w:t xml:space="preserve">The platform automates four decisions that were previously manual: how much of each product to forecast selling, when and how much to reorder, which supplier to buy from, and which procurement actions generate the most expected profit. All four are implemented as working, tested Python modules and were run end-to-end on the full dataset.</w:t>
      </w:r>
    </w:p>
    <w:p>
      <w:pPr>
        <w:pStyle w:val="Heading3"/>
        <w:spacing w:after="100" w:before="200"/>
      </w:pPr>
      <w:r>
        <w:t xml:space="preserve">Key Results</w:t>
      </w:r>
    </w:p>
    <w:p>
      <w:pPr>
        <w:spacing w:after="80"/>
      </w:pPr>
      <w:r>
        <w:rPr>
          <w:b/>
          <w:bCs/>
          <w:sz w:val="22"/>
          <w:szCs w:val="22"/>
        </w:rPr>
        <w:t xml:space="preserve">Demand forecast accuracy (WAPE, 60-day holdout backtest): </w:t>
      </w:r>
      <w:r>
        <w:rPr>
          <w:sz w:val="22"/>
          <w:szCs w:val="22"/>
        </w:rPr>
        <w:t xml:space="preserve">9.87% overall (90.1% accuracy)</w:t>
      </w:r>
    </w:p>
    <w:p>
      <w:pPr>
        <w:spacing w:after="80"/>
      </w:pPr>
      <w:r>
        <w:rPr>
          <w:b/>
          <w:bCs/>
          <w:sz w:val="22"/>
          <w:szCs w:val="22"/>
        </w:rPr>
        <w:t xml:space="preserve">Forecast accuracy on festival days: </w:t>
      </w:r>
      <w:r>
        <w:rPr>
          <w:sz w:val="22"/>
          <w:szCs w:val="22"/>
        </w:rPr>
        <w:t xml:space="preserve">11.33% WAPE</w:t>
      </w:r>
    </w:p>
    <w:p>
      <w:pPr>
        <w:spacing w:after="80"/>
      </w:pPr>
      <w:r>
        <w:rPr>
          <w:b/>
          <w:bCs/>
          <w:sz w:val="22"/>
          <w:szCs w:val="22"/>
        </w:rPr>
        <w:t xml:space="preserve">Forecast accuracy on normal days: </w:t>
      </w:r>
      <w:r>
        <w:rPr>
          <w:sz w:val="22"/>
          <w:szCs w:val="22"/>
        </w:rPr>
        <w:t xml:space="preserve">9.78% WAPE</w:t>
      </w:r>
    </w:p>
    <w:p>
      <w:pPr>
        <w:spacing w:after="80"/>
      </w:pPr>
      <w:r>
        <w:rPr>
          <w:b/>
          <w:bCs/>
          <w:sz w:val="22"/>
          <w:szCs w:val="22"/>
        </w:rPr>
        <w:t xml:space="preserve">Store×Product combinations flagged for reorder (next 14 days): </w:t>
      </w:r>
      <w:r>
        <w:rPr>
          <w:sz w:val="22"/>
          <w:szCs w:val="22"/>
        </w:rPr>
        <w:t xml:space="preserve">1,395 of 3,500</w:t>
      </w:r>
    </w:p>
    <w:p>
      <w:pPr>
        <w:spacing w:after="80"/>
      </w:pPr>
      <w:r>
        <w:rPr>
          <w:b/>
          <w:bCs/>
          <w:sz w:val="22"/>
          <w:szCs w:val="22"/>
        </w:rPr>
        <w:t xml:space="preserve">Store×Product combinations flagged as overstocked: </w:t>
      </w:r>
      <w:r>
        <w:rPr>
          <w:sz w:val="22"/>
          <w:szCs w:val="22"/>
        </w:rPr>
        <w:t xml:space="preserve">228 of 3,500</w:t>
      </w:r>
    </w:p>
    <w:p>
      <w:pPr>
        <w:spacing w:after="80"/>
      </w:pPr>
      <w:r>
        <w:rPr>
          <w:b/>
          <w:bCs/>
          <w:sz w:val="22"/>
          <w:szCs w:val="22"/>
        </w:rPr>
        <w:t xml:space="preserve">Inter-store stock transfer opportunities identified: </w:t>
      </w:r>
      <w:r>
        <w:rPr>
          <w:sz w:val="22"/>
          <w:szCs w:val="22"/>
        </w:rPr>
        <w:t xml:space="preserve">303</w:t>
      </w:r>
    </w:p>
    <w:p>
      <w:pPr>
        <w:spacing w:after="80"/>
      </w:pPr>
      <w:r>
        <w:rPr>
          <w:b/>
          <w:bCs/>
          <w:sz w:val="22"/>
          <w:szCs w:val="22"/>
        </w:rPr>
        <w:t xml:space="preserve">Expected profit uplift identified for the next 14-day horizon: </w:t>
      </w:r>
      <w:r>
        <w:rPr>
          <w:sz w:val="22"/>
          <w:szCs w:val="22"/>
        </w:rPr>
        <w:t xml:space="preserve">₹25.7 lakh (Rs 2,565,552)</w:t>
      </w:r>
    </w:p>
    <w:p>
      <w:pPr>
        <w:spacing w:after="80"/>
      </w:pPr>
      <w:r>
        <w:rPr>
          <w:b/>
          <w:bCs/>
          <w:sz w:val="22"/>
          <w:szCs w:val="22"/>
        </w:rPr>
        <w:t xml:space="preserve">Historical revenue / profit analyzed: </w:t>
      </w:r>
      <w:r>
        <w:rPr>
          <w:sz w:val="22"/>
          <w:szCs w:val="22"/>
        </w:rPr>
        <w:t xml:space="preserve">₹157.8 crore revenue / ₹34.7 crore profit</w:t>
      </w:r>
    </w:p>
    <w:p>
      <w:r>
        <w:br w:type="page"/>
      </w:r>
    </w:p>
    <w:p>
      <w:pPr>
        <w:pStyle w:val="Heading1"/>
        <w:spacing w:after="160" w:before="360"/>
      </w:pPr>
      <w:r>
        <w:t xml:space="preserve">2. Problem Statement</w:t>
      </w:r>
    </w:p>
    <w:p>
      <w:pPr>
        <w:spacing w:after="160" w:line="276"/>
      </w:pPr>
      <w:r>
        <w:rPr>
          <w:sz w:val="22"/>
          <w:szCs w:val="22"/>
        </w:rPr>
        <w:t xml:space="preserve">Retail operations teams managing multi-store networks routinely face:</w:t>
      </w:r>
    </w:p>
    <w:p>
      <w:pPr>
        <w:pStyle w:val="ListParagraph"/>
        <w:numPr>
          <w:ilvl w:val="0"/>
          <w:numId w:val="2"/>
        </w:numPr>
        <w:spacing w:after="80"/>
      </w:pPr>
      <w:r>
        <w:rPr>
          <w:sz w:val="22"/>
          <w:szCs w:val="22"/>
        </w:rPr>
        <w:t xml:space="preserve">Stock-outs during high-demand periods, especially around festivals</w:t>
      </w:r>
    </w:p>
    <w:p>
      <w:pPr>
        <w:pStyle w:val="ListParagraph"/>
        <w:numPr>
          <w:ilvl w:val="0"/>
          <w:numId w:val="2"/>
        </w:numPr>
        <w:spacing w:after="80"/>
      </w:pPr>
      <w:r>
        <w:rPr>
          <w:sz w:val="22"/>
          <w:szCs w:val="22"/>
        </w:rPr>
        <w:t xml:space="preserve">Overstocking of slow-moving products that ties up capital and warehouse space</w:t>
      </w:r>
    </w:p>
    <w:p>
      <w:pPr>
        <w:pStyle w:val="ListParagraph"/>
        <w:numPr>
          <w:ilvl w:val="0"/>
          <w:numId w:val="2"/>
        </w:numPr>
        <w:spacing w:after="80"/>
      </w:pPr>
      <w:r>
        <w:rPr>
          <w:sz w:val="22"/>
          <w:szCs w:val="22"/>
        </w:rPr>
        <w:t xml:space="preserve">Demand forecasts based on gut feel rather than historical patterns</w:t>
      </w:r>
    </w:p>
    <w:p>
      <w:pPr>
        <w:pStyle w:val="ListParagraph"/>
        <w:numPr>
          <w:ilvl w:val="0"/>
          <w:numId w:val="2"/>
        </w:numPr>
        <w:spacing w:after="80"/>
      </w:pPr>
      <w:r>
        <w:rPr>
          <w:sz w:val="22"/>
          <w:szCs w:val="22"/>
        </w:rPr>
        <w:t xml:space="preserve">Procurement decisions that don't account for supplier price, lead time, and reliability together</w:t>
      </w:r>
    </w:p>
    <w:p>
      <w:pPr>
        <w:pStyle w:val="ListParagraph"/>
        <w:numPr>
          <w:ilvl w:val="0"/>
          <w:numId w:val="2"/>
        </w:numPr>
        <w:spacing w:after="80"/>
      </w:pPr>
      <w:r>
        <w:rPr>
          <w:sz w:val="22"/>
          <w:szCs w:val="22"/>
        </w:rPr>
        <w:t xml:space="preserve">No systematic way to identify which procurement action yields the highest profit</w:t>
      </w:r>
    </w:p>
    <w:p>
      <w:pPr>
        <w:spacing w:after="160" w:line="276"/>
      </w:pPr>
      <w:r>
        <w:rPr>
          <w:sz w:val="22"/>
          <w:szCs w:val="22"/>
        </w:rPr>
        <w:t xml:space="preserve">RetailBrain AI addresses these by building a single pipeline that goes from raw historical sales straight through to ranked, explainable, rupee-quantified recommendations.</w:t>
      </w:r>
    </w:p>
    <w:p>
      <w:pPr>
        <w:pStyle w:val="Heading1"/>
        <w:spacing w:after="160" w:before="360"/>
      </w:pPr>
      <w:r>
        <w:t xml:space="preserve">3. Target User</w:t>
      </w:r>
    </w:p>
    <w:p>
      <w:pPr>
        <w:spacing w:after="160" w:line="276"/>
      </w:pPr>
      <w:r>
        <w:rPr>
          <w:sz w:val="22"/>
          <w:szCs w:val="22"/>
        </w:rPr>
        <w:t xml:space="preserve">The system is built for the Central Admin / Procurement / Operations team responsible for inventory, suppliers, procurement, and profit across all stores — not a customer-facing shopping application. All outputs are structured as decision-support tables intended to feed an operations dashboard.</w:t>
      </w:r>
    </w:p>
    <w:p>
      <w:r>
        <w:br w:type="page"/>
      </w:r>
    </w:p>
    <w:p>
      <w:pPr>
        <w:pStyle w:val="Heading1"/>
        <w:spacing w:after="160" w:before="360"/>
      </w:pPr>
      <w:r>
        <w:t xml:space="preserve">4. System Architecture</w:t>
      </w:r>
    </w:p>
    <w:p>
      <w:pPr>
        <w:spacing w:after="160" w:line="276"/>
      </w:pPr>
      <w:r>
        <w:rPr>
          <w:sz w:val="22"/>
          <w:szCs w:val="22"/>
        </w:rPr>
        <w:t xml:space="preserve">The pipeline is organized as six sequential stages, each implemented as an independent, testable Python module:</w:t>
      </w:r>
    </w:p>
    <w:p>
      <w:pPr>
        <w:pStyle w:val="ListParagraph"/>
        <w:numPr>
          <w:ilvl w:val="0"/>
          <w:numId w:val="2"/>
        </w:numPr>
        <w:spacing w:after="80"/>
      </w:pPr>
      <w:r>
        <w:rPr>
          <w:sz w:val="22"/>
          <w:szCs w:val="22"/>
        </w:rPr>
        <w:t xml:space="preserve">Data Loader — loads and type-casts all six source tables (sales, products, stores, inventory, suppliers, procurement)</w:t>
      </w:r>
    </w:p>
    <w:p>
      <w:pPr>
        <w:pStyle w:val="ListParagraph"/>
        <w:numPr>
          <w:ilvl w:val="0"/>
          <w:numId w:val="2"/>
        </w:numPr>
        <w:spacing w:after="80"/>
      </w:pPr>
      <w:r>
        <w:rPr>
          <w:sz w:val="22"/>
          <w:szCs w:val="22"/>
        </w:rPr>
        <w:t xml:space="preserve">Feature Engineering — reconstructs a dense Date × Store × Product panel (including zero-demand days), then builds calendar, lag, and rolling-window features</w:t>
      </w:r>
    </w:p>
    <w:p>
      <w:pPr>
        <w:pStyle w:val="ListParagraph"/>
        <w:numPr>
          <w:ilvl w:val="0"/>
          <w:numId w:val="2"/>
        </w:numPr>
        <w:spacing w:after="80"/>
      </w:pPr>
      <w:r>
        <w:rPr>
          <w:sz w:val="22"/>
          <w:szCs w:val="22"/>
        </w:rPr>
        <w:t xml:space="preserve">Demand Forecasting — a global LightGBM model trained across all 3,500 Store×Product series simultaneously</w:t>
      </w:r>
    </w:p>
    <w:p>
      <w:pPr>
        <w:pStyle w:val="ListParagraph"/>
        <w:numPr>
          <w:ilvl w:val="0"/>
          <w:numId w:val="2"/>
        </w:numPr>
        <w:spacing w:after="80"/>
      </w:pPr>
      <w:r>
        <w:rPr>
          <w:sz w:val="22"/>
          <w:szCs w:val="22"/>
        </w:rPr>
        <w:t xml:space="preserve">Inventory Optimization — converts forecasts into reorder points, reorder quantities, overstock flags, and inter-store transfer suggestions</w:t>
      </w:r>
    </w:p>
    <w:p>
      <w:pPr>
        <w:pStyle w:val="ListParagraph"/>
        <w:numPr>
          <w:ilvl w:val="0"/>
          <w:numId w:val="2"/>
        </w:numPr>
        <w:spacing w:after="80"/>
      </w:pPr>
      <w:r>
        <w:rPr>
          <w:sz w:val="22"/>
          <w:szCs w:val="22"/>
        </w:rPr>
        <w:t xml:space="preserve">Supplier Optimization — ranks suppliers per product on price, lead time, and rating; detects rising-price trends</w:t>
      </w:r>
    </w:p>
    <w:p>
      <w:pPr>
        <w:pStyle w:val="ListParagraph"/>
        <w:numPr>
          <w:ilvl w:val="0"/>
          <w:numId w:val="2"/>
        </w:numPr>
        <w:spacing w:after="80"/>
      </w:pPr>
      <w:r>
        <w:rPr>
          <w:sz w:val="22"/>
          <w:szCs w:val="22"/>
        </w:rPr>
        <w:t xml:space="preserve">Profit Optimization — combines the above into a single ranked list of procurement actions by expected profit</w:t>
      </w:r>
    </w:p>
    <w:p>
      <w:pPr>
        <w:spacing w:after="160" w:line="276"/>
      </w:pPr>
      <w:r>
        <w:rPr>
          <w:sz w:val="22"/>
          <w:szCs w:val="22"/>
        </w:rPr>
        <w:t xml:space="preserve">Each stage writes its output to a CSV or JSON file, so the same pipeline can feed a live dashboard, a scheduled batch job, or manual review — no stage depends on how the previous one is consumed.</w:t>
      </w:r>
    </w:p>
    <w:p>
      <w:pPr>
        <w:pStyle w:val="Heading3"/>
        <w:spacing w:after="100" w:before="200"/>
      </w:pPr>
      <w:r>
        <w:t xml:space="preserve">Pipeline Flow</w:t>
      </w:r>
    </w:p>
    <w:p>
      <w:pPr>
        <w:spacing w:after="160" w:line="276"/>
      </w:pPr>
      <w:r>
        <w:rPr>
          <w:i/>
          <w:iCs/>
          <w:sz w:val="22"/>
          <w:szCs w:val="22"/>
        </w:rPr>
        <w:t xml:space="preserve">Sales + Products + Stores + Inventory + Suppliers + Procurement → Feature Panel → Demand Forecast Model → [Inventory Reorder Engine + Supplier Ranking Engine] → Profit Optimization Engine → Dashboard-ready CSV/JSON outputs.</w:t>
      </w:r>
    </w:p>
    <w:p>
      <w:r>
        <w:br w:type="page"/>
      </w:r>
    </w:p>
    <w:p>
      <w:pPr>
        <w:pStyle w:val="Heading1"/>
        <w:spacing w:after="160" w:before="360"/>
      </w:pPr>
      <w:r>
        <w:t xml:space="preserve">5. Datasets Used</w:t>
      </w:r>
    </w:p>
    <w:p>
      <w:pPr>
        <w:spacing w:after="160" w:line="276"/>
      </w:pPr>
      <w:r>
        <w:rPr>
          <w:sz w:val="22"/>
          <w:szCs w:val="22"/>
        </w:rPr>
        <w:t xml:space="preserve">All modules were built and validated against the actual project datasets, not synthetic placeholders: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000"/>
      </w:tblGrid>
      <w:tr>
        <w:trPr>
          <w:tblHeader/>
        </w:trPr>
        <w:tc>
          <w:tcPr>
            <w:tcW w:type="dxa" w:w="4200"/>
            <w:shd w:fill="1F4E5F" w:val="clear"/>
            <w:tcMar>
              <w:top w:type="dxa" w:w="80"/>
              <w:left w:type="dxa" w:w="100"/>
              <w:bottom w:type="dxa" w:w="80"/>
              <w:right w:type="dxa" w:w="100"/>
            </w:tcMar>
          </w:tcPr>
          <w:p>
            <w:r>
              <w:rPr>
                <w:b/>
                <w:bCs/>
                <w:color w:val="FFFFFF"/>
                <w:sz w:val="19"/>
                <w:szCs w:val="19"/>
              </w:rPr>
              <w:t xml:space="preserve">Dataset</w:t>
            </w:r>
          </w:p>
        </w:tc>
        <w:tc>
          <w:tcPr>
            <w:tcW w:type="dxa" w:w="1600"/>
            <w:shd w:fill="1F4E5F" w:val="clear"/>
            <w:tcMar>
              <w:top w:type="dxa" w:w="80"/>
              <w:left w:type="dxa" w:w="100"/>
              <w:bottom w:type="dxa" w:w="80"/>
              <w:right w:type="dxa" w:w="100"/>
            </w:tcMar>
          </w:tcPr>
          <w:p>
            <w:r>
              <w:rPr>
                <w:b/>
                <w:bCs/>
                <w:color w:val="FFFFFF"/>
                <w:sz w:val="19"/>
                <w:szCs w:val="19"/>
              </w:rPr>
              <w:t xml:space="preserve">Rows</w:t>
            </w:r>
          </w:p>
        </w:tc>
        <w:tc>
          <w:tcPr>
            <w:tcW w:type="dxa" w:w="4000"/>
            <w:shd w:fill="1F4E5F" w:val="clear"/>
            <w:tcMar>
              <w:top w:type="dxa" w:w="80"/>
              <w:left w:type="dxa" w:w="100"/>
              <w:bottom w:type="dxa" w:w="80"/>
              <w:right w:type="dxa" w:w="100"/>
            </w:tcMar>
          </w:tcPr>
          <w:p>
            <w:r>
              <w:rPr>
                <w:b/>
                <w:bCs/>
                <w:color w:val="FFFFFF"/>
                <w:sz w:val="19"/>
                <w:szCs w:val="19"/>
              </w:rPr>
              <w:t xml:space="preserve">Key Fields</w:t>
            </w:r>
          </w:p>
        </w:tc>
      </w:tr>
      <w:tr>
        <w:tc>
          <w:tcPr>
            <w:tcW w:type="dxa" w:w="4200"/>
            <w:tcMar>
              <w:top w:type="dxa" w:w="60"/>
              <w:left w:type="dxa" w:w="100"/>
              <w:bottom w:type="dxa" w:w="60"/>
              <w:right w:type="dxa" w:w="100"/>
            </w:tcMar>
          </w:tcPr>
          <w:p>
            <w:r>
              <w:rPr>
                <w:sz w:val="19"/>
                <w:szCs w:val="19"/>
              </w:rPr>
              <w:t xml:space="preserve">Sales (corrected_sales_dataset.csv)</w:t>
            </w:r>
          </w:p>
        </w:tc>
        <w:tc>
          <w:tcPr>
            <w:tcW w:type="dxa" w:w="1600"/>
            <w:tcMar>
              <w:top w:type="dxa" w:w="60"/>
              <w:left w:type="dxa" w:w="100"/>
              <w:bottom w:type="dxa" w:w="60"/>
              <w:right w:type="dxa" w:w="100"/>
            </w:tcMar>
          </w:tcPr>
          <w:p>
            <w:r>
              <w:rPr>
                <w:sz w:val="19"/>
                <w:szCs w:val="19"/>
              </w:rPr>
              <w:t xml:space="preserve">2,485,400</w:t>
            </w:r>
          </w:p>
        </w:tc>
        <w:tc>
          <w:tcPr>
            <w:tcW w:type="dxa" w:w="4000"/>
            <w:tcMar>
              <w:top w:type="dxa" w:w="60"/>
              <w:left w:type="dxa" w:w="100"/>
              <w:bottom w:type="dxa" w:w="60"/>
              <w:right w:type="dxa" w:w="100"/>
            </w:tcMar>
          </w:tcPr>
          <w:p>
            <w:r>
              <w:rPr>
                <w:sz w:val="19"/>
                <w:szCs w:val="19"/>
              </w:rPr>
              <w:t xml:space="preserve">Date, Store_ID, Product_ID, Quantity_Sold, Revenue, Profit, Festival, Season</w:t>
            </w:r>
          </w:p>
        </w:tc>
      </w:tr>
      <w:tr>
        <w:tc>
          <w:tcPr>
            <w:tcW w:type="dxa" w:w="4200"/>
            <w:tcMar>
              <w:top w:type="dxa" w:w="60"/>
              <w:left w:type="dxa" w:w="100"/>
              <w:bottom w:type="dxa" w:w="60"/>
              <w:right w:type="dxa" w:w="100"/>
            </w:tcMar>
          </w:tcPr>
          <w:p>
            <w:r>
              <w:rPr>
                <w:sz w:val="19"/>
                <w:szCs w:val="19"/>
              </w:rPr>
              <w:t xml:space="preserve">Products</w:t>
            </w:r>
          </w:p>
        </w:tc>
        <w:tc>
          <w:tcPr>
            <w:tcW w:type="dxa" w:w="1600"/>
            <w:tcMar>
              <w:top w:type="dxa" w:w="60"/>
              <w:left w:type="dxa" w:w="100"/>
              <w:bottom w:type="dxa" w:w="60"/>
              <w:right w:type="dxa" w:w="100"/>
            </w:tcMar>
          </w:tcPr>
          <w:p>
            <w:r>
              <w:rPr>
                <w:sz w:val="19"/>
                <w:szCs w:val="19"/>
              </w:rPr>
              <w:t xml:space="preserve">35</w:t>
            </w:r>
          </w:p>
        </w:tc>
        <w:tc>
          <w:tcPr>
            <w:tcW w:type="dxa" w:w="4000"/>
            <w:tcMar>
              <w:top w:type="dxa" w:w="60"/>
              <w:left w:type="dxa" w:w="100"/>
              <w:bottom w:type="dxa" w:w="60"/>
              <w:right w:type="dxa" w:w="100"/>
            </w:tcMar>
          </w:tcPr>
          <w:p>
            <w:r>
              <w:rPr>
                <w:sz w:val="19"/>
                <w:szCs w:val="19"/>
              </w:rPr>
              <w:t xml:space="preserve">Category, Brand, MRP, Selling_Price, Cost_Price, Shelf_Life</w:t>
            </w:r>
          </w:p>
        </w:tc>
      </w:tr>
      <w:tr>
        <w:tc>
          <w:tcPr>
            <w:tcW w:type="dxa" w:w="4200"/>
            <w:tcMar>
              <w:top w:type="dxa" w:w="60"/>
              <w:left w:type="dxa" w:w="100"/>
              <w:bottom w:type="dxa" w:w="60"/>
              <w:right w:type="dxa" w:w="100"/>
            </w:tcMar>
          </w:tcPr>
          <w:p>
            <w:r>
              <w:rPr>
                <w:sz w:val="19"/>
                <w:szCs w:val="19"/>
              </w:rPr>
              <w:t xml:space="preserve">Stores</w:t>
            </w:r>
          </w:p>
        </w:tc>
        <w:tc>
          <w:tcPr>
            <w:tcW w:type="dxa" w:w="1600"/>
            <w:tcMar>
              <w:top w:type="dxa" w:w="60"/>
              <w:left w:type="dxa" w:w="100"/>
              <w:bottom w:type="dxa" w:w="60"/>
              <w:right w:type="dxa" w:w="100"/>
            </w:tcMar>
          </w:tcPr>
          <w:p>
            <w:r>
              <w:rPr>
                <w:sz w:val="19"/>
                <w:szCs w:val="19"/>
              </w:rPr>
              <w:t xml:space="preserve">100</w:t>
            </w:r>
          </w:p>
        </w:tc>
        <w:tc>
          <w:tcPr>
            <w:tcW w:type="dxa" w:w="4000"/>
            <w:tcMar>
              <w:top w:type="dxa" w:w="60"/>
              <w:left w:type="dxa" w:w="100"/>
              <w:bottom w:type="dxa" w:w="60"/>
              <w:right w:type="dxa" w:w="100"/>
            </w:tcMar>
          </w:tcPr>
          <w:p>
            <w:r>
              <w:rPr>
                <w:sz w:val="19"/>
                <w:szCs w:val="19"/>
              </w:rPr>
              <w:t xml:space="preserve">City, Locality, Store_Type, Capacity, Lat/Long</w:t>
            </w:r>
          </w:p>
        </w:tc>
      </w:tr>
      <w:tr>
        <w:tc>
          <w:tcPr>
            <w:tcW w:type="dxa" w:w="4200"/>
            <w:tcMar>
              <w:top w:type="dxa" w:w="60"/>
              <w:left w:type="dxa" w:w="100"/>
              <w:bottom w:type="dxa" w:w="60"/>
              <w:right w:type="dxa" w:w="100"/>
            </w:tcMar>
          </w:tcPr>
          <w:p>
            <w:r>
              <w:rPr>
                <w:sz w:val="19"/>
                <w:szCs w:val="19"/>
              </w:rPr>
              <w:t xml:space="preserve">Inventory</w:t>
            </w:r>
          </w:p>
        </w:tc>
        <w:tc>
          <w:tcPr>
            <w:tcW w:type="dxa" w:w="1600"/>
            <w:tcMar>
              <w:top w:type="dxa" w:w="60"/>
              <w:left w:type="dxa" w:w="100"/>
              <w:bottom w:type="dxa" w:w="60"/>
              <w:right w:type="dxa" w:w="100"/>
            </w:tcMar>
          </w:tcPr>
          <w:p>
            <w:r>
              <w:rPr>
                <w:sz w:val="19"/>
                <w:szCs w:val="19"/>
              </w:rPr>
              <w:t xml:space="preserve">3,500</w:t>
            </w:r>
          </w:p>
        </w:tc>
        <w:tc>
          <w:tcPr>
            <w:tcW w:type="dxa" w:w="4000"/>
            <w:tcMar>
              <w:top w:type="dxa" w:w="60"/>
              <w:left w:type="dxa" w:w="100"/>
              <w:bottom w:type="dxa" w:w="60"/>
              <w:right w:type="dxa" w:w="100"/>
            </w:tcMar>
          </w:tcPr>
          <w:p>
            <w:r>
              <w:rPr>
                <w:sz w:val="19"/>
                <w:szCs w:val="19"/>
              </w:rPr>
              <w:t xml:space="preserve">Current_Stock, Reserved_Stock, Safety_Stock, Maximum_Capacity</w:t>
            </w:r>
          </w:p>
        </w:tc>
      </w:tr>
      <w:tr>
        <w:tc>
          <w:tcPr>
            <w:tcW w:type="dxa" w:w="4200"/>
            <w:tcMar>
              <w:top w:type="dxa" w:w="60"/>
              <w:left w:type="dxa" w:w="100"/>
              <w:bottom w:type="dxa" w:w="60"/>
              <w:right w:type="dxa" w:w="100"/>
            </w:tcMar>
          </w:tcPr>
          <w:p>
            <w:r>
              <w:rPr>
                <w:sz w:val="19"/>
                <w:szCs w:val="19"/>
              </w:rPr>
              <w:t xml:space="preserve">Suppliers</w:t>
            </w:r>
          </w:p>
        </w:tc>
        <w:tc>
          <w:tcPr>
            <w:tcW w:type="dxa" w:w="1600"/>
            <w:tcMar>
              <w:top w:type="dxa" w:w="60"/>
              <w:left w:type="dxa" w:w="100"/>
              <w:bottom w:type="dxa" w:w="60"/>
              <w:right w:type="dxa" w:w="100"/>
            </w:tcMar>
          </w:tcPr>
          <w:p>
            <w:r>
              <w:rPr>
                <w:sz w:val="19"/>
                <w:szCs w:val="19"/>
              </w:rPr>
              <w:t xml:space="preserve">105</w:t>
            </w:r>
          </w:p>
        </w:tc>
        <w:tc>
          <w:tcPr>
            <w:tcW w:type="dxa" w:w="4000"/>
            <w:tcMar>
              <w:top w:type="dxa" w:w="60"/>
              <w:left w:type="dxa" w:w="100"/>
              <w:bottom w:type="dxa" w:w="60"/>
              <w:right w:type="dxa" w:w="100"/>
            </w:tcMar>
          </w:tcPr>
          <w:p>
            <w:r>
              <w:rPr>
                <w:sz w:val="19"/>
                <w:szCs w:val="19"/>
              </w:rPr>
              <w:t xml:space="preserve">Supplier_Price, Lead_Time, Minimum_Order, Supplier_Rating</w:t>
            </w:r>
          </w:p>
        </w:tc>
      </w:tr>
      <w:tr>
        <w:tc>
          <w:tcPr>
            <w:tcW w:type="dxa" w:w="4200"/>
            <w:tcMar>
              <w:top w:type="dxa" w:w="60"/>
              <w:left w:type="dxa" w:w="100"/>
              <w:bottom w:type="dxa" w:w="60"/>
              <w:right w:type="dxa" w:w="100"/>
            </w:tcMar>
          </w:tcPr>
          <w:p>
            <w:r>
              <w:rPr>
                <w:sz w:val="19"/>
                <w:szCs w:val="19"/>
              </w:rPr>
              <w:t xml:space="preserve">Procurement history</w:t>
            </w:r>
          </w:p>
        </w:tc>
        <w:tc>
          <w:tcPr>
            <w:tcW w:type="dxa" w:w="1600"/>
            <w:tcMar>
              <w:top w:type="dxa" w:w="60"/>
              <w:left w:type="dxa" w:w="100"/>
              <w:bottom w:type="dxa" w:w="60"/>
              <w:right w:type="dxa" w:w="100"/>
            </w:tcMar>
          </w:tcPr>
          <w:p>
            <w:r>
              <w:rPr>
                <w:sz w:val="19"/>
                <w:szCs w:val="19"/>
              </w:rPr>
              <w:t xml:space="preserve">609,756</w:t>
            </w:r>
          </w:p>
        </w:tc>
        <w:tc>
          <w:tcPr>
            <w:tcW w:type="dxa" w:w="4000"/>
            <w:tcMar>
              <w:top w:type="dxa" w:w="60"/>
              <w:left w:type="dxa" w:w="100"/>
              <w:bottom w:type="dxa" w:w="60"/>
              <w:right w:type="dxa" w:w="100"/>
            </w:tcMar>
          </w:tcPr>
          <w:p>
            <w:r>
              <w:rPr>
                <w:sz w:val="19"/>
                <w:szCs w:val="19"/>
              </w:rPr>
              <w:t xml:space="preserve">Purchase_Date, Quantity, Purchase_Price, Delivery_Date</w:t>
            </w:r>
          </w:p>
        </w:tc>
      </w:tr>
    </w:tbl>
    <w:p>
      <w:pPr>
        <w:spacing w:after="160" w:line="276"/>
      </w:pPr>
      <w:r>
        <w:rPr>
          <w:color w:val="595959"/>
          <w:sz w:val="20"/>
          <w:szCs w:val="20"/>
        </w:rPr>
        <w:t xml:space="preserve">Data quality was verified before modeling: zero orphan foreign keys across all tables, all sales math (Gross − Discount = Revenue, Revenue − Cost = Profit) reconciled exactly, and known anomalies (73,100 zero-quantity placeholder rows, 185 inventory rows with Reserved_Stock exceeding Current_Stock) were cleaned prior to modeling.</w:t>
      </w:r>
    </w:p>
    <w:p>
      <w:pPr>
        <w:spacing w:after="160" w:line="276"/>
      </w:pPr>
      <w:r>
        <w:rPr>
          <w:color w:val="595959"/>
          <w:sz w:val="20"/>
          <w:szCs w:val="20"/>
        </w:rPr>
        <w:t xml:space="preserve">The inventory data was further refined using a professionally corrected inventory extract covering 10 stores: Store and Product IDs were standardized to the project's BST-XXX / PROD-XXX convention, and 26 rows where an incoming shipment would have exceeded warehouse capacity were capped to the store's actual available room. These 145 corrected Store×Product records were merged into the full 100-store inventory file, replacing the corresponding rows so the reorder and profit engines run on the most accurate stock figures available.</w:t>
      </w:r>
    </w:p>
    <w:p>
      <w:r>
        <w:br w:type="page"/>
      </w:r>
    </w:p>
    <w:p>
      <w:pPr>
        <w:pStyle w:val="Heading1"/>
        <w:spacing w:after="160" w:before="360"/>
      </w:pPr>
      <w:r>
        <w:t xml:space="preserve">6. Methodology</w:t>
      </w:r>
    </w:p>
    <w:p>
      <w:pPr>
        <w:pStyle w:val="Heading2"/>
        <w:spacing w:after="120" w:before="280"/>
      </w:pPr>
      <w:r>
        <w:t xml:space="preserve">6.1 Feature Engineering</w:t>
      </w:r>
    </w:p>
    <w:p>
      <w:pPr>
        <w:spacing w:after="160" w:line="276"/>
      </w:pPr>
      <w:r>
        <w:rPr>
          <w:sz w:val="22"/>
          <w:szCs w:val="22"/>
        </w:rPr>
        <w:t xml:space="preserve">Because the cleaned sales file only contains rows with actual sales (Quantity_Sold &gt; 0), the pipeline first reconstructs a dense Date × Store × Product grid covering every day, filling non-sale days as zero demand. This is essential: without explicit zero-demand rows, the model cannot learn that a product simply doesn't sell at a given store on an ordinary day, which would bias forecasts upward.</w:t>
      </w:r>
    </w:p>
    <w:p>
      <w:pPr>
        <w:spacing w:after="160" w:line="276"/>
      </w:pPr>
      <w:r>
        <w:rPr>
          <w:sz w:val="22"/>
          <w:szCs w:val="22"/>
        </w:rPr>
        <w:t xml:space="preserve">From this dense panel, the following features are engineered per Store×Product series:</w:t>
      </w:r>
    </w:p>
    <w:p>
      <w:pPr>
        <w:pStyle w:val="ListParagraph"/>
        <w:numPr>
          <w:ilvl w:val="0"/>
          <w:numId w:val="2"/>
        </w:numPr>
        <w:spacing w:after="80"/>
      </w:pPr>
      <w:r>
        <w:rPr>
          <w:sz w:val="22"/>
          <w:szCs w:val="22"/>
        </w:rPr>
        <w:t xml:space="preserve">Calendar features: day of week, month, week of year, weekend flag, festival flag</w:t>
      </w:r>
    </w:p>
    <w:p>
      <w:pPr>
        <w:pStyle w:val="ListParagraph"/>
        <w:numPr>
          <w:ilvl w:val="0"/>
          <w:numId w:val="2"/>
        </w:numPr>
        <w:spacing w:after="80"/>
      </w:pPr>
      <w:r>
        <w:rPr>
          <w:sz w:val="22"/>
          <w:szCs w:val="22"/>
        </w:rPr>
        <w:t xml:space="preserve">Lag features: demand 1, 7, 14, and 28 days prior</w:t>
      </w:r>
    </w:p>
    <w:p>
      <w:pPr>
        <w:pStyle w:val="ListParagraph"/>
        <w:numPr>
          <w:ilvl w:val="0"/>
          <w:numId w:val="2"/>
        </w:numPr>
        <w:spacing w:after="80"/>
      </w:pPr>
      <w:r>
        <w:rPr>
          <w:sz w:val="22"/>
          <w:szCs w:val="22"/>
        </w:rPr>
        <w:t xml:space="preserve">Rolling statistics: 7/14/30-day rolling mean and standard deviation of demand (computed strictly on prior days to avoid look-ahead leakage)</w:t>
      </w:r>
    </w:p>
    <w:p>
      <w:pPr>
        <w:pStyle w:val="ListParagraph"/>
        <w:numPr>
          <w:ilvl w:val="0"/>
          <w:numId w:val="2"/>
        </w:numPr>
        <w:spacing w:after="80"/>
      </w:pPr>
      <w:r>
        <w:rPr>
          <w:sz w:val="22"/>
          <w:szCs w:val="22"/>
        </w:rPr>
        <w:t xml:space="preserve">Categorical context: Store_ID, Product_ID, Category, City, Store_Type, Festival, Season</w:t>
      </w:r>
    </w:p>
    <w:p>
      <w:pPr>
        <w:spacing w:after="160" w:line="276"/>
      </w:pPr>
      <w:r>
        <w:rPr>
          <w:sz w:val="22"/>
          <w:szCs w:val="22"/>
        </w:rPr>
        <w:t xml:space="preserve">The resulting feature table has 2,558,500 rows × 27 columns.</w:t>
      </w:r>
    </w:p>
    <w:p>
      <w:pPr>
        <w:pStyle w:val="Heading2"/>
        <w:spacing w:after="120" w:before="280"/>
      </w:pPr>
      <w:r>
        <w:t xml:space="preserve">6.2 Demand Forecasting Model</w:t>
      </w:r>
    </w:p>
    <w:p>
      <w:pPr>
        <w:spacing w:after="160" w:line="276"/>
      </w:pPr>
      <w:r>
        <w:rPr>
          <w:sz w:val="22"/>
          <w:szCs w:val="22"/>
        </w:rPr>
        <w:t xml:space="preserve">A single global LightGBM regressor is trained across all 3,500 Store×Product series rather than 3,500 separate per-series models. This is the standard modern approach for retail demand forecasting at this scale: a global model shares statistical strength across similar products and stores, which matters because many individual Store×Product series are short or intermittent.</w:t>
      </w:r>
    </w:p>
    <w:p>
      <w:pPr>
        <w:pStyle w:val="ListParagraph"/>
        <w:numPr>
          <w:ilvl w:val="0"/>
          <w:numId w:val="2"/>
        </w:numPr>
        <w:spacing w:after="80"/>
      </w:pPr>
      <w:r>
        <w:rPr>
          <w:sz w:val="22"/>
          <w:szCs w:val="22"/>
        </w:rPr>
        <w:t xml:space="preserve">Objective: Poisson regression, appropriate for non-negative, right-skewed count data such as units sold</w:t>
      </w:r>
    </w:p>
    <w:p>
      <w:pPr>
        <w:pStyle w:val="ListParagraph"/>
        <w:numPr>
          <w:ilvl w:val="0"/>
          <w:numId w:val="2"/>
        </w:numPr>
        <w:spacing w:after="80"/>
      </w:pPr>
      <w:r>
        <w:rPr>
          <w:sz w:val="22"/>
          <w:szCs w:val="22"/>
        </w:rPr>
        <w:t xml:space="preserve">Framework: LightGBM gradient boosting, 500 rounds with early stopping</w:t>
      </w:r>
    </w:p>
    <w:p>
      <w:pPr>
        <w:pStyle w:val="ListParagraph"/>
        <w:numPr>
          <w:ilvl w:val="0"/>
          <w:numId w:val="2"/>
        </w:numPr>
        <w:spacing w:after="80"/>
      </w:pPr>
      <w:r>
        <w:rPr>
          <w:sz w:val="22"/>
          <w:szCs w:val="22"/>
        </w:rPr>
        <w:t xml:space="preserve">Validation: strict time-based split — the model is trained only on data before a cutoff and evaluated on the most recent 60 days it never saw during training</w:t>
      </w:r>
    </w:p>
    <w:p>
      <w:pPr>
        <w:pStyle w:val="ListParagraph"/>
        <w:numPr>
          <w:ilvl w:val="0"/>
          <w:numId w:val="2"/>
        </w:numPr>
        <w:spacing w:after="80"/>
      </w:pPr>
      <w:r>
        <w:rPr>
          <w:sz w:val="22"/>
          <w:szCs w:val="22"/>
        </w:rPr>
        <w:t xml:space="preserve">Forecast horizon: 14 days ahead, generated recursively (each day's prediction feeds the lag features for the next day)</w:t>
      </w:r>
    </w:p>
    <w:p>
      <w:pPr>
        <w:pStyle w:val="Heading3"/>
        <w:spacing w:after="100" w:before="200"/>
      </w:pPr>
      <w:r>
        <w:t xml:space="preserve">Backtest Results (60-day holdout, 210,000 test rows)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200"/>
      </w:tblGrid>
      <w:tr>
        <w:trPr>
          <w:tblHeader/>
        </w:trPr>
        <w:tc>
          <w:tcPr>
            <w:tcW w:type="dxa" w:w="3200"/>
            <w:shd w:fill="1F4E5F" w:val="clear"/>
            <w:tcMar>
              <w:top w:type="dxa" w:w="80"/>
              <w:left w:type="dxa" w:w="100"/>
              <w:bottom w:type="dxa" w:w="80"/>
              <w:right w:type="dxa" w:w="100"/>
            </w:tcMar>
          </w:tcPr>
          <w:p>
            <w:r>
              <w:rPr>
                <w:b/>
                <w:bCs/>
                <w:color w:val="FFFFFF"/>
                <w:sz w:val="19"/>
                <w:szCs w:val="19"/>
              </w:rPr>
              <w:t xml:space="preserve">Metric</w:t>
            </w:r>
          </w:p>
        </w:tc>
        <w:tc>
          <w:tcPr>
            <w:tcW w:type="dxa" w:w="2400"/>
            <w:shd w:fill="1F4E5F" w:val="clear"/>
            <w:tcMar>
              <w:top w:type="dxa" w:w="80"/>
              <w:left w:type="dxa" w:w="100"/>
              <w:bottom w:type="dxa" w:w="80"/>
              <w:right w:type="dxa" w:w="100"/>
            </w:tcMar>
          </w:tcPr>
          <w:p>
            <w:r>
              <w:rPr>
                <w:b/>
                <w:bCs/>
                <w:color w:val="FFFFFF"/>
                <w:sz w:val="19"/>
                <w:szCs w:val="19"/>
              </w:rPr>
              <w:t xml:space="preserve">Value</w:t>
            </w:r>
          </w:p>
        </w:tc>
        <w:tc>
          <w:tcPr>
            <w:tcW w:type="dxa" w:w="4200"/>
            <w:shd w:fill="1F4E5F" w:val="clear"/>
            <w:tcMar>
              <w:top w:type="dxa" w:w="80"/>
              <w:left w:type="dxa" w:w="100"/>
              <w:bottom w:type="dxa" w:w="80"/>
              <w:right w:type="dxa" w:w="100"/>
            </w:tcMar>
          </w:tcPr>
          <w:p>
            <w:r>
              <w:rPr>
                <w:b/>
                <w:bCs/>
                <w:color w:val="FFFFFF"/>
                <w:sz w:val="19"/>
                <w:szCs w:val="19"/>
              </w:rPr>
              <w:t xml:space="preserve">Interpretation</w:t>
            </w:r>
          </w:p>
        </w:tc>
      </w:tr>
      <w:tr>
        <w:tc>
          <w:tcPr>
            <w:tcW w:type="dxa" w:w="3200"/>
            <w:tcMar>
              <w:top w:type="dxa" w:w="60"/>
              <w:left w:type="dxa" w:w="100"/>
              <w:bottom w:type="dxa" w:w="60"/>
              <w:right w:type="dxa" w:w="100"/>
            </w:tcMar>
          </w:tcPr>
          <w:p>
            <w:r>
              <w:rPr>
                <w:sz w:val="19"/>
                <w:szCs w:val="19"/>
              </w:rPr>
              <w:t xml:space="preserve">MAE</w:t>
            </w:r>
          </w:p>
        </w:tc>
        <w:tc>
          <w:tcPr>
            <w:tcW w:type="dxa" w:w="2400"/>
            <w:tcMar>
              <w:top w:type="dxa" w:w="60"/>
              <w:left w:type="dxa" w:w="100"/>
              <w:bottom w:type="dxa" w:w="60"/>
              <w:right w:type="dxa" w:w="100"/>
            </w:tcMar>
          </w:tcPr>
          <w:p>
            <w:r>
              <w:rPr>
                <w:sz w:val="19"/>
                <w:szCs w:val="19"/>
              </w:rPr>
              <w:t xml:space="preserve">1.06 units</w:t>
            </w:r>
          </w:p>
        </w:tc>
        <w:tc>
          <w:tcPr>
            <w:tcW w:type="dxa" w:w="4200"/>
            <w:tcMar>
              <w:top w:type="dxa" w:w="60"/>
              <w:left w:type="dxa" w:w="100"/>
              <w:bottom w:type="dxa" w:w="60"/>
              <w:right w:type="dxa" w:w="100"/>
            </w:tcMar>
          </w:tcPr>
          <w:p>
            <w:r>
              <w:rPr>
                <w:sz w:val="19"/>
                <w:szCs w:val="19"/>
              </w:rPr>
              <w:t xml:space="preserve">Average forecast error per Store×Product×Day</w:t>
            </w:r>
          </w:p>
        </w:tc>
      </w:tr>
      <w:tr>
        <w:tc>
          <w:tcPr>
            <w:tcW w:type="dxa" w:w="3200"/>
            <w:tcMar>
              <w:top w:type="dxa" w:w="60"/>
              <w:left w:type="dxa" w:w="100"/>
              <w:bottom w:type="dxa" w:w="60"/>
              <w:right w:type="dxa" w:w="100"/>
            </w:tcMar>
          </w:tcPr>
          <w:p>
            <w:r>
              <w:rPr>
                <w:sz w:val="19"/>
                <w:szCs w:val="19"/>
              </w:rPr>
              <w:t xml:space="preserve">WAPE – overall</w:t>
            </w:r>
          </w:p>
        </w:tc>
        <w:tc>
          <w:tcPr>
            <w:tcW w:type="dxa" w:w="2400"/>
            <w:tcMar>
              <w:top w:type="dxa" w:w="60"/>
              <w:left w:type="dxa" w:w="100"/>
              <w:bottom w:type="dxa" w:w="60"/>
              <w:right w:type="dxa" w:w="100"/>
            </w:tcMar>
          </w:tcPr>
          <w:p>
            <w:r>
              <w:rPr>
                <w:sz w:val="19"/>
                <w:szCs w:val="19"/>
              </w:rPr>
              <w:t xml:space="preserve">9.87%</w:t>
            </w:r>
          </w:p>
        </w:tc>
        <w:tc>
          <w:tcPr>
            <w:tcW w:type="dxa" w:w="4200"/>
            <w:tcMar>
              <w:top w:type="dxa" w:w="60"/>
              <w:left w:type="dxa" w:w="100"/>
              <w:bottom w:type="dxa" w:w="60"/>
              <w:right w:type="dxa" w:w="100"/>
            </w:tcMar>
          </w:tcPr>
          <w:p>
            <w:r>
              <w:rPr>
                <w:sz w:val="19"/>
                <w:szCs w:val="19"/>
              </w:rPr>
              <w:t xml:space="preserve">~90% forecast accuracy across all days</w:t>
            </w:r>
          </w:p>
        </w:tc>
      </w:tr>
      <w:tr>
        <w:tc>
          <w:tcPr>
            <w:tcW w:type="dxa" w:w="3200"/>
            <w:tcMar>
              <w:top w:type="dxa" w:w="60"/>
              <w:left w:type="dxa" w:w="100"/>
              <w:bottom w:type="dxa" w:w="60"/>
              <w:right w:type="dxa" w:w="100"/>
            </w:tcMar>
          </w:tcPr>
          <w:p>
            <w:r>
              <w:rPr>
                <w:sz w:val="19"/>
                <w:szCs w:val="19"/>
              </w:rPr>
              <w:t xml:space="preserve">WAPE – normal days</w:t>
            </w:r>
          </w:p>
        </w:tc>
        <w:tc>
          <w:tcPr>
            <w:tcW w:type="dxa" w:w="2400"/>
            <w:tcMar>
              <w:top w:type="dxa" w:w="60"/>
              <w:left w:type="dxa" w:w="100"/>
              <w:bottom w:type="dxa" w:w="60"/>
              <w:right w:type="dxa" w:w="100"/>
            </w:tcMar>
          </w:tcPr>
          <w:p>
            <w:r>
              <w:rPr>
                <w:sz w:val="19"/>
                <w:szCs w:val="19"/>
              </w:rPr>
              <w:t xml:space="preserve">9.78%</w:t>
            </w:r>
          </w:p>
        </w:tc>
        <w:tc>
          <w:tcPr>
            <w:tcW w:type="dxa" w:w="4200"/>
            <w:tcMar>
              <w:top w:type="dxa" w:w="60"/>
              <w:left w:type="dxa" w:w="100"/>
              <w:bottom w:type="dxa" w:w="60"/>
              <w:right w:type="dxa" w:w="100"/>
            </w:tcMar>
          </w:tcPr>
          <w:p>
            <w:r>
              <w:rPr>
                <w:sz w:val="19"/>
                <w:szCs w:val="19"/>
              </w:rPr>
              <w:t xml:space="preserve">Slightly better than the overall average</w:t>
            </w:r>
          </w:p>
        </w:tc>
      </w:tr>
      <w:tr>
        <w:tc>
          <w:tcPr>
            <w:tcW w:type="dxa" w:w="3200"/>
            <w:tcMar>
              <w:top w:type="dxa" w:w="60"/>
              <w:left w:type="dxa" w:w="100"/>
              <w:bottom w:type="dxa" w:w="60"/>
              <w:right w:type="dxa" w:w="100"/>
            </w:tcMar>
          </w:tcPr>
          <w:p>
            <w:r>
              <w:rPr>
                <w:sz w:val="19"/>
                <w:szCs w:val="19"/>
              </w:rPr>
              <w:t xml:space="preserve">WAPE – festival days</w:t>
            </w:r>
          </w:p>
        </w:tc>
        <w:tc>
          <w:tcPr>
            <w:tcW w:type="dxa" w:w="2400"/>
            <w:tcMar>
              <w:top w:type="dxa" w:w="60"/>
              <w:left w:type="dxa" w:w="100"/>
              <w:bottom w:type="dxa" w:w="60"/>
              <w:right w:type="dxa" w:w="100"/>
            </w:tcMar>
          </w:tcPr>
          <w:p>
            <w:r>
              <w:rPr>
                <w:sz w:val="19"/>
                <w:szCs w:val="19"/>
              </w:rPr>
              <w:t xml:space="preserve">11.33%</w:t>
            </w:r>
          </w:p>
        </w:tc>
        <w:tc>
          <w:tcPr>
            <w:tcW w:type="dxa" w:w="4200"/>
            <w:tcMar>
              <w:top w:type="dxa" w:w="60"/>
              <w:left w:type="dxa" w:w="100"/>
              <w:bottom w:type="dxa" w:w="60"/>
              <w:right w:type="dxa" w:w="100"/>
            </w:tcMar>
          </w:tcPr>
          <w:p>
            <w:r>
              <w:rPr>
                <w:sz w:val="19"/>
                <w:szCs w:val="19"/>
              </w:rPr>
              <w:t xml:space="preserve">Modestly harder to forecast, as expected given demand spikes</w:t>
            </w:r>
          </w:p>
        </w:tc>
      </w:tr>
    </w:tbl>
    <w:p>
      <w:pPr>
        <w:spacing w:after="160" w:line="276"/>
      </w:pPr>
      <w:r>
        <w:rPr>
          <w:color w:val="595959"/>
          <w:sz w:val="20"/>
          <w:szCs w:val="20"/>
        </w:rPr>
        <w:t xml:space="preserve">A WAPE below 10% is considered strong for SKU-level daily retail forecasting; the gap between festival and normal-day accuracy confirms that festival demand spikes are real and worth the dedicated festival-aware features already built in.</w:t>
      </w:r>
    </w:p>
    <w:p>
      <w:pPr>
        <w:pStyle w:val="Heading2"/>
        <w:spacing w:after="120" w:before="280"/>
      </w:pPr>
      <w:r>
        <w:t xml:space="preserve">6.3 Inventory Optimization</w:t>
      </w:r>
    </w:p>
    <w:p>
      <w:pPr>
        <w:spacing w:after="160" w:line="276"/>
      </w:pPr>
      <w:r>
        <w:rPr>
          <w:sz w:val="22"/>
          <w:szCs w:val="22"/>
        </w:rPr>
        <w:t xml:space="preserve">Reorder logic follows a standard newsvendor-style safety-stock formula, computed per Store×Product using each product's fastest available supplier lead time:</w:t>
      </w:r>
    </w:p>
    <w:p>
      <w:pPr>
        <w:pStyle w:val="ListParagraph"/>
        <w:numPr>
          <w:ilvl w:val="0"/>
          <w:numId w:val="2"/>
        </w:numPr>
        <w:spacing w:after="80"/>
      </w:pPr>
      <w:r>
        <w:rPr>
          <w:sz w:val="22"/>
          <w:szCs w:val="22"/>
        </w:rPr>
        <w:t xml:space="preserve">Safety Stock = Z × demand standard deviation × √(lead time), using Z = 1.65 for a ~95% service level</w:t>
      </w:r>
    </w:p>
    <w:p>
      <w:pPr>
        <w:pStyle w:val="ListParagraph"/>
        <w:numPr>
          <w:ilvl w:val="0"/>
          <w:numId w:val="2"/>
        </w:numPr>
        <w:spacing w:after="80"/>
      </w:pPr>
      <w:r>
        <w:rPr>
          <w:sz w:val="22"/>
          <w:szCs w:val="22"/>
        </w:rPr>
        <w:t xml:space="preserve">Reorder Point = (average daily forecast demand × lead time) + safety stock</w:t>
      </w:r>
    </w:p>
    <w:p>
      <w:pPr>
        <w:pStyle w:val="ListParagraph"/>
        <w:numPr>
          <w:ilvl w:val="0"/>
          <w:numId w:val="2"/>
        </w:numPr>
        <w:spacing w:after="80"/>
      </w:pPr>
      <w:r>
        <w:rPr>
          <w:sz w:val="22"/>
          <w:szCs w:val="22"/>
        </w:rPr>
        <w:t xml:space="preserve">Recommended Order Quantity = forecasted horizon demand + safety stock − available stock, capped at remaining warehouse capacity</w:t>
      </w:r>
    </w:p>
    <w:p>
      <w:pPr>
        <w:pStyle w:val="ListParagraph"/>
        <w:numPr>
          <w:ilvl w:val="0"/>
          <w:numId w:val="2"/>
        </w:numPr>
        <w:spacing w:after="80"/>
      </w:pPr>
      <w:r>
        <w:rPr>
          <w:sz w:val="22"/>
          <w:szCs w:val="22"/>
        </w:rPr>
        <w:t xml:space="preserve">Overstock Flag = current stock exceeds 1.5× the forecasted 30-day demand</w:t>
      </w:r>
    </w:p>
    <w:p>
      <w:pPr>
        <w:spacing w:after="160" w:line="276"/>
      </w:pPr>
      <w:r>
        <w:rPr>
          <w:sz w:val="22"/>
          <w:szCs w:val="22"/>
        </w:rPr>
        <w:t xml:space="preserve">On the full dataset, 1,395 of 3,500 Store×Product combinations fell below their reorder point for the next 14 days, and 228 were flagged overstocked. Before recommending fresh procurement, the engine checks for stock-transfer opportunities between overstocked and understocked stores in the same city, and found 303 concrete transfer matches — e.g. moving 41 units of PROD-001 from BST-009 to BST-008 in Delhi NCR — which reduces fresh procurement spend by satisfying shortages from existing surplus stock first.</w:t>
      </w:r>
    </w:p>
    <w:p>
      <w:pPr>
        <w:pStyle w:val="Heading2"/>
        <w:spacing w:after="120" w:before="280"/>
      </w:pPr>
      <w:r>
        <w:t xml:space="preserve">6.4 Supplier Optimization</w:t>
      </w:r>
    </w:p>
    <w:p>
      <w:pPr>
        <w:spacing w:after="160" w:line="276"/>
      </w:pPr>
      <w:r>
        <w:rPr>
          <w:sz w:val="22"/>
          <w:szCs w:val="22"/>
        </w:rPr>
        <w:t xml:space="preserve">Suppliers are ranked per product on a weighted composite score, normalized within each product so a ₹5 price difference on a ₹20 item is weighted correctly against a ₹5 difference on a ₹200 item:</w:t>
      </w:r>
    </w:p>
    <w:p>
      <w:pPr>
        <w:pStyle w:val="ListParagraph"/>
        <w:numPr>
          <w:ilvl w:val="0"/>
          <w:numId w:val="2"/>
        </w:numPr>
        <w:spacing w:after="80"/>
      </w:pPr>
      <w:r>
        <w:rPr>
          <w:sz w:val="22"/>
          <w:szCs w:val="22"/>
        </w:rPr>
        <w:t xml:space="preserve">50% weight on price (lower is better)</w:t>
      </w:r>
    </w:p>
    <w:p>
      <w:pPr>
        <w:pStyle w:val="ListParagraph"/>
        <w:numPr>
          <w:ilvl w:val="0"/>
          <w:numId w:val="2"/>
        </w:numPr>
        <w:spacing w:after="80"/>
      </w:pPr>
      <w:r>
        <w:rPr>
          <w:sz w:val="22"/>
          <w:szCs w:val="22"/>
        </w:rPr>
        <w:t xml:space="preserve">20% weight on lead time (faster is better)</w:t>
      </w:r>
    </w:p>
    <w:p>
      <w:pPr>
        <w:pStyle w:val="ListParagraph"/>
        <w:numPr>
          <w:ilvl w:val="0"/>
          <w:numId w:val="2"/>
        </w:numPr>
        <w:spacing w:after="80"/>
      </w:pPr>
      <w:r>
        <w:rPr>
          <w:sz w:val="22"/>
          <w:szCs w:val="22"/>
        </w:rPr>
        <w:t xml:space="preserve">30% weight on supplier rating</w:t>
      </w:r>
    </w:p>
    <w:p>
      <w:pPr>
        <w:spacing w:after="160" w:line="276"/>
      </w:pPr>
      <w:r>
        <w:rPr>
          <w:sz w:val="22"/>
          <w:szCs w:val="22"/>
        </w:rPr>
        <w:t xml:space="preserve">A price-trend detector separately compares each product's average procurement price over the most recent 60 days against the prior 60 days, flagging any product with more than a 3% price rise as a “buy ahead” candidate. On the current procurement history, prices were flat with no material trend, so no buy-ahead flags were raised in this run — the detector is fully functional and will surface signals as real price movement occurs.</w:t>
      </w:r>
    </w:p>
    <w:p>
      <w:pPr>
        <w:pStyle w:val="Heading2"/>
        <w:spacing w:after="120" w:before="280"/>
      </w:pPr>
      <w:r>
        <w:t xml:space="preserve">6.5 Profit Optimization Engine</w:t>
      </w:r>
    </w:p>
    <w:p>
      <w:pPr>
        <w:spacing w:after="160" w:line="276"/>
      </w:pPr>
      <w:r>
        <w:rPr>
          <w:sz w:val="22"/>
          <w:szCs w:val="22"/>
        </w:rPr>
        <w:t xml:space="preserve">The final stage joins the reorder recommendations with each product's top-ranked supplier and current selling price to compute expected profit per recommended purchase:</w:t>
      </w:r>
    </w:p>
    <w:p>
      <w:pPr>
        <w:pStyle w:val="ListParagraph"/>
        <w:numPr>
          <w:ilvl w:val="0"/>
          <w:numId w:val="2"/>
        </w:numPr>
        <w:spacing w:after="80"/>
      </w:pPr>
      <w:r>
        <w:rPr>
          <w:sz w:val="22"/>
          <w:szCs w:val="22"/>
        </w:rPr>
        <w:t xml:space="preserve">Procurement Cost = recommended order quantity × best supplier price</w:t>
      </w:r>
    </w:p>
    <w:p>
      <w:pPr>
        <w:pStyle w:val="ListParagraph"/>
        <w:numPr>
          <w:ilvl w:val="0"/>
          <w:numId w:val="2"/>
        </w:numPr>
        <w:spacing w:after="80"/>
      </w:pPr>
      <w:r>
        <w:rPr>
          <w:sz w:val="22"/>
          <w:szCs w:val="22"/>
        </w:rPr>
        <w:t xml:space="preserve">Expected Revenue = recommended order quantity × selling price</w:t>
      </w:r>
    </w:p>
    <w:p>
      <w:pPr>
        <w:pStyle w:val="ListParagraph"/>
        <w:numPr>
          <w:ilvl w:val="0"/>
          <w:numId w:val="2"/>
        </w:numPr>
        <w:spacing w:after="80"/>
      </w:pPr>
      <w:r>
        <w:rPr>
          <w:sz w:val="22"/>
          <w:szCs w:val="22"/>
        </w:rPr>
        <w:t xml:space="preserve">Holding Cost (estimated) = 2% of procurement cost</w:t>
      </w:r>
    </w:p>
    <w:p>
      <w:pPr>
        <w:pStyle w:val="ListParagraph"/>
        <w:numPr>
          <w:ilvl w:val="0"/>
          <w:numId w:val="2"/>
        </w:numPr>
        <w:spacing w:after="80"/>
      </w:pPr>
      <w:r>
        <w:rPr>
          <w:sz w:val="22"/>
          <w:szCs w:val="22"/>
        </w:rPr>
        <w:t xml:space="preserve">Expected Profit = Expected Revenue − Procurement Cost − Holding Cost</w:t>
      </w:r>
    </w:p>
    <w:p>
      <w:pPr>
        <w:spacing w:after="160" w:line="276"/>
      </w:pPr>
      <w:r>
        <w:rPr>
          <w:sz w:val="22"/>
          <w:szCs w:val="22"/>
        </w:rPr>
        <w:t xml:space="preserve">Recommendations are ranked by expected profit, giving the operations team a single prioritized action list rather than 1,395 undifferentiated reorder alerts.</w:t>
      </w:r>
    </w:p>
    <w:p>
      <w:r>
        <w:br w:type="page"/>
      </w:r>
    </w:p>
    <w:p>
      <w:pPr>
        <w:pStyle w:val="Heading1"/>
        <w:spacing w:after="160" w:before="360"/>
      </w:pPr>
      <w:r>
        <w:t xml:space="preserve">7. Sample Output — Top Profit-Ranked Procurement Recommendations</w:t>
      </w:r>
    </w:p>
    <w:p>
      <w:pPr>
        <w:spacing w:after="160" w:line="276"/>
      </w:pPr>
      <w:r>
        <w:rPr>
          <w:sz w:val="22"/>
          <w:szCs w:val="22"/>
        </w:rPr>
        <w:t xml:space="preserve">The following are real results from the full pipeline run on the complete dataset, using the corrected, professionally validated inventory data (top rows of profit_optimization_recommendations.csv):</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300"/>
        <w:gridCol w:w="2400"/>
        <w:gridCol w:w="1200"/>
        <w:gridCol w:w="1200"/>
        <w:gridCol w:w="1500"/>
      </w:tblGrid>
      <w:tr>
        <w:trPr>
          <w:tblHeader/>
        </w:trPr>
        <w:tc>
          <w:tcPr>
            <w:tcW w:type="dxa" w:w="1300"/>
            <w:shd w:fill="1F4E5F" w:val="clear"/>
            <w:tcMar>
              <w:top w:type="dxa" w:w="80"/>
              <w:left w:type="dxa" w:w="100"/>
              <w:bottom w:type="dxa" w:w="80"/>
              <w:right w:type="dxa" w:w="100"/>
            </w:tcMar>
          </w:tcPr>
          <w:p>
            <w:r>
              <w:rPr>
                <w:b/>
                <w:bCs/>
                <w:color w:val="FFFFFF"/>
                <w:sz w:val="19"/>
                <w:szCs w:val="19"/>
              </w:rPr>
              <w:t xml:space="preserve">Store</w:t>
            </w:r>
          </w:p>
        </w:tc>
        <w:tc>
          <w:tcPr>
            <w:tcW w:type="dxa" w:w="2700"/>
            <w:shd w:fill="1F4E5F" w:val="clear"/>
            <w:tcMar>
              <w:top w:type="dxa" w:w="80"/>
              <w:left w:type="dxa" w:w="100"/>
              <w:bottom w:type="dxa" w:w="80"/>
              <w:right w:type="dxa" w:w="100"/>
            </w:tcMar>
          </w:tcPr>
          <w:p>
            <w:r>
              <w:rPr>
                <w:b/>
                <w:bCs/>
                <w:color w:val="FFFFFF"/>
                <w:sz w:val="19"/>
                <w:szCs w:val="19"/>
              </w:rPr>
              <w:t xml:space="preserve">Product</w:t>
            </w:r>
          </w:p>
        </w:tc>
        <w:tc>
          <w:tcPr>
            <w:tcW w:type="dxa" w:w="1300"/>
            <w:shd w:fill="1F4E5F" w:val="clear"/>
            <w:tcMar>
              <w:top w:type="dxa" w:w="80"/>
              <w:left w:type="dxa" w:w="100"/>
              <w:bottom w:type="dxa" w:w="80"/>
              <w:right w:type="dxa" w:w="100"/>
            </w:tcMar>
          </w:tcPr>
          <w:p>
            <w:r>
              <w:rPr>
                <w:b/>
                <w:bCs/>
                <w:color w:val="FFFFFF"/>
                <w:sz w:val="19"/>
                <w:szCs w:val="19"/>
              </w:rPr>
              <w:t xml:space="preserve">Order Qty</w:t>
            </w:r>
          </w:p>
        </w:tc>
        <w:tc>
          <w:tcPr>
            <w:tcW w:type="dxa" w:w="2400"/>
            <w:shd w:fill="1F4E5F" w:val="clear"/>
            <w:tcMar>
              <w:top w:type="dxa" w:w="80"/>
              <w:left w:type="dxa" w:w="100"/>
              <w:bottom w:type="dxa" w:w="80"/>
              <w:right w:type="dxa" w:w="100"/>
            </w:tcMar>
          </w:tcPr>
          <w:p>
            <w:r>
              <w:rPr>
                <w:b/>
                <w:bCs/>
                <w:color w:val="FFFFFF"/>
                <w:sz w:val="19"/>
                <w:szCs w:val="19"/>
              </w:rPr>
              <w:t xml:space="preserve">Best Supplier</w:t>
            </w:r>
          </w:p>
        </w:tc>
        <w:tc>
          <w:tcPr>
            <w:tcW w:type="dxa" w:w="1200"/>
            <w:shd w:fill="1F4E5F" w:val="clear"/>
            <w:tcMar>
              <w:top w:type="dxa" w:w="80"/>
              <w:left w:type="dxa" w:w="100"/>
              <w:bottom w:type="dxa" w:w="80"/>
              <w:right w:type="dxa" w:w="100"/>
            </w:tcMar>
          </w:tcPr>
          <w:p>
            <w:r>
              <w:rPr>
                <w:b/>
                <w:bCs/>
                <w:color w:val="FFFFFF"/>
                <w:sz w:val="19"/>
                <w:szCs w:val="19"/>
              </w:rPr>
              <w:t xml:space="preserve">Unit Cost</w:t>
            </w:r>
          </w:p>
        </w:tc>
        <w:tc>
          <w:tcPr>
            <w:tcW w:type="dxa" w:w="1200"/>
            <w:shd w:fill="1F4E5F" w:val="clear"/>
            <w:tcMar>
              <w:top w:type="dxa" w:w="80"/>
              <w:left w:type="dxa" w:w="100"/>
              <w:bottom w:type="dxa" w:w="80"/>
              <w:right w:type="dxa" w:w="100"/>
            </w:tcMar>
          </w:tcPr>
          <w:p>
            <w:r>
              <w:rPr>
                <w:b/>
                <w:bCs/>
                <w:color w:val="FFFFFF"/>
                <w:sz w:val="19"/>
                <w:szCs w:val="19"/>
              </w:rPr>
              <w:t xml:space="preserve">Sell Price</w:t>
            </w:r>
          </w:p>
        </w:tc>
        <w:tc>
          <w:tcPr>
            <w:tcW w:type="dxa" w:w="1500"/>
            <w:shd w:fill="1F4E5F" w:val="clear"/>
            <w:tcMar>
              <w:top w:type="dxa" w:w="80"/>
              <w:left w:type="dxa" w:w="100"/>
              <w:bottom w:type="dxa" w:w="80"/>
              <w:right w:type="dxa" w:w="100"/>
            </w:tcMar>
          </w:tcPr>
          <w:p>
            <w:r>
              <w:rPr>
                <w:b/>
                <w:bCs/>
                <w:color w:val="FFFFFF"/>
                <w:sz w:val="19"/>
                <w:szCs w:val="19"/>
              </w:rPr>
              <w:t xml:space="preserve">Expected Profit</w:t>
            </w:r>
          </w:p>
        </w:tc>
      </w:tr>
      <w:tr>
        <w:tc>
          <w:tcPr>
            <w:tcW w:type="dxa" w:w="1300"/>
            <w:tcMar>
              <w:top w:type="dxa" w:w="60"/>
              <w:left w:type="dxa" w:w="100"/>
              <w:bottom w:type="dxa" w:w="60"/>
              <w:right w:type="dxa" w:w="100"/>
            </w:tcMar>
          </w:tcPr>
          <w:p>
            <w:r>
              <w:rPr>
                <w:sz w:val="19"/>
                <w:szCs w:val="19"/>
              </w:rPr>
              <w:t xml:space="preserve">BST-002</w:t>
            </w:r>
          </w:p>
        </w:tc>
        <w:tc>
          <w:tcPr>
            <w:tcW w:type="dxa" w:w="2700"/>
            <w:tcMar>
              <w:top w:type="dxa" w:w="60"/>
              <w:left w:type="dxa" w:w="100"/>
              <w:bottom w:type="dxa" w:w="60"/>
              <w:right w:type="dxa" w:w="100"/>
            </w:tcMar>
          </w:tcPr>
          <w:p>
            <w:r>
              <w:rPr>
                <w:sz w:val="19"/>
                <w:szCs w:val="19"/>
              </w:rPr>
              <w:t xml:space="preserve">Fevicryl Acrylic Colour</w:t>
            </w:r>
          </w:p>
        </w:tc>
        <w:tc>
          <w:tcPr>
            <w:tcW w:type="dxa" w:w="1300"/>
            <w:tcMar>
              <w:top w:type="dxa" w:w="60"/>
              <w:left w:type="dxa" w:w="100"/>
              <w:bottom w:type="dxa" w:w="60"/>
              <w:right w:type="dxa" w:w="100"/>
            </w:tcMar>
          </w:tcPr>
          <w:p>
            <w:r>
              <w:rPr>
                <w:sz w:val="19"/>
                <w:szCs w:val="19"/>
              </w:rPr>
              <w:t xml:space="preserve">1,583</w:t>
            </w:r>
          </w:p>
        </w:tc>
        <w:tc>
          <w:tcPr>
            <w:tcW w:type="dxa" w:w="2400"/>
            <w:tcMar>
              <w:top w:type="dxa" w:w="60"/>
              <w:left w:type="dxa" w:w="100"/>
              <w:bottom w:type="dxa" w:w="60"/>
              <w:right w:type="dxa" w:w="100"/>
            </w:tcMar>
          </w:tcPr>
          <w:p>
            <w:r>
              <w:rPr>
                <w:sz w:val="19"/>
                <w:szCs w:val="19"/>
              </w:rPr>
              <w:t xml:space="preserve">ServD Pooja Decoratives</w:t>
            </w:r>
          </w:p>
        </w:tc>
        <w:tc>
          <w:tcPr>
            <w:tcW w:type="dxa" w:w="1200"/>
            <w:tcMar>
              <w:top w:type="dxa" w:w="60"/>
              <w:left w:type="dxa" w:w="100"/>
              <w:bottom w:type="dxa" w:w="60"/>
              <w:right w:type="dxa" w:w="100"/>
            </w:tcMar>
          </w:tcPr>
          <w:p>
            <w:r>
              <w:rPr>
                <w:sz w:val="19"/>
                <w:szCs w:val="19"/>
              </w:rPr>
              <w:t xml:space="preserve">₹160</w:t>
            </w:r>
          </w:p>
        </w:tc>
        <w:tc>
          <w:tcPr>
            <w:tcW w:type="dxa" w:w="1200"/>
            <w:tcMar>
              <w:top w:type="dxa" w:w="60"/>
              <w:left w:type="dxa" w:w="100"/>
              <w:bottom w:type="dxa" w:w="60"/>
              <w:right w:type="dxa" w:w="100"/>
            </w:tcMar>
          </w:tcPr>
          <w:p>
            <w:r>
              <w:rPr>
                <w:sz w:val="19"/>
                <w:szCs w:val="19"/>
              </w:rPr>
              <w:t xml:space="preserve">₹224</w:t>
            </w:r>
          </w:p>
        </w:tc>
        <w:tc>
          <w:tcPr>
            <w:tcW w:type="dxa" w:w="1500"/>
            <w:tcMar>
              <w:top w:type="dxa" w:w="60"/>
              <w:left w:type="dxa" w:w="100"/>
              <w:bottom w:type="dxa" w:w="60"/>
              <w:right w:type="dxa" w:w="100"/>
            </w:tcMar>
          </w:tcPr>
          <w:p>
            <w:r>
              <w:rPr>
                <w:sz w:val="19"/>
                <w:szCs w:val="19"/>
              </w:rPr>
              <w:t xml:space="preserve">₹96,246.40</w:t>
            </w:r>
          </w:p>
        </w:tc>
      </w:tr>
      <w:tr>
        <w:tc>
          <w:tcPr>
            <w:tcW w:type="dxa" w:w="1300"/>
            <w:tcMar>
              <w:top w:type="dxa" w:w="60"/>
              <w:left w:type="dxa" w:w="100"/>
              <w:bottom w:type="dxa" w:w="60"/>
              <w:right w:type="dxa" w:w="100"/>
            </w:tcMar>
          </w:tcPr>
          <w:p>
            <w:r>
              <w:rPr>
                <w:sz w:val="19"/>
                <w:szCs w:val="19"/>
              </w:rPr>
              <w:t xml:space="preserve">BST-003</w:t>
            </w:r>
          </w:p>
        </w:tc>
        <w:tc>
          <w:tcPr>
            <w:tcW w:type="dxa" w:w="2700"/>
            <w:tcMar>
              <w:top w:type="dxa" w:w="60"/>
              <w:left w:type="dxa" w:w="100"/>
              <w:bottom w:type="dxa" w:w="60"/>
              <w:right w:type="dxa" w:w="100"/>
            </w:tcMar>
          </w:tcPr>
          <w:p>
            <w:r>
              <w:rPr>
                <w:sz w:val="19"/>
                <w:szCs w:val="19"/>
              </w:rPr>
              <w:t xml:space="preserve">Lipton Honey Lemon Green Tea</w:t>
            </w:r>
          </w:p>
        </w:tc>
        <w:tc>
          <w:tcPr>
            <w:tcW w:type="dxa" w:w="1300"/>
            <w:tcMar>
              <w:top w:type="dxa" w:w="60"/>
              <w:left w:type="dxa" w:w="100"/>
              <w:bottom w:type="dxa" w:w="60"/>
              <w:right w:type="dxa" w:w="100"/>
            </w:tcMar>
          </w:tcPr>
          <w:p>
            <w:r>
              <w:rPr>
                <w:sz w:val="19"/>
                <w:szCs w:val="19"/>
              </w:rPr>
              <w:t xml:space="preserve">551</w:t>
            </w:r>
          </w:p>
        </w:tc>
        <w:tc>
          <w:tcPr>
            <w:tcW w:type="dxa" w:w="2400"/>
            <w:tcMar>
              <w:top w:type="dxa" w:w="60"/>
              <w:left w:type="dxa" w:w="100"/>
              <w:bottom w:type="dxa" w:w="60"/>
              <w:right w:type="dxa" w:w="100"/>
            </w:tcMar>
          </w:tcPr>
          <w:p>
            <w:r>
              <w:rPr>
                <w:sz w:val="19"/>
                <w:szCs w:val="19"/>
              </w:rPr>
              <w:t xml:space="preserve">Chaayos Tea Premixers</w:t>
            </w:r>
          </w:p>
        </w:tc>
        <w:tc>
          <w:tcPr>
            <w:tcW w:type="dxa" w:w="1200"/>
            <w:tcMar>
              <w:top w:type="dxa" w:w="60"/>
              <w:left w:type="dxa" w:w="100"/>
              <w:bottom w:type="dxa" w:w="60"/>
              <w:right w:type="dxa" w:w="100"/>
            </w:tcMar>
          </w:tcPr>
          <w:p>
            <w:r>
              <w:rPr>
                <w:sz w:val="19"/>
                <w:szCs w:val="19"/>
              </w:rPr>
              <w:t xml:space="preserve">₹130</w:t>
            </w:r>
          </w:p>
        </w:tc>
        <w:tc>
          <w:tcPr>
            <w:tcW w:type="dxa" w:w="1200"/>
            <w:tcMar>
              <w:top w:type="dxa" w:w="60"/>
              <w:left w:type="dxa" w:w="100"/>
              <w:bottom w:type="dxa" w:w="60"/>
              <w:right w:type="dxa" w:w="100"/>
            </w:tcMar>
          </w:tcPr>
          <w:p>
            <w:r>
              <w:rPr>
                <w:sz w:val="19"/>
                <w:szCs w:val="19"/>
              </w:rPr>
              <w:t xml:space="preserve">₹172</w:t>
            </w:r>
          </w:p>
        </w:tc>
        <w:tc>
          <w:tcPr>
            <w:tcW w:type="dxa" w:w="1500"/>
            <w:tcMar>
              <w:top w:type="dxa" w:w="60"/>
              <w:left w:type="dxa" w:w="100"/>
              <w:bottom w:type="dxa" w:w="60"/>
              <w:right w:type="dxa" w:w="100"/>
            </w:tcMar>
          </w:tcPr>
          <w:p>
            <w:r>
              <w:rPr>
                <w:sz w:val="19"/>
                <w:szCs w:val="19"/>
              </w:rPr>
              <w:t xml:space="preserve">₹21,709.40</w:t>
            </w:r>
          </w:p>
        </w:tc>
      </w:tr>
      <w:tr>
        <w:tc>
          <w:tcPr>
            <w:tcW w:type="dxa" w:w="1300"/>
            <w:tcMar>
              <w:top w:type="dxa" w:w="60"/>
              <w:left w:type="dxa" w:w="100"/>
              <w:bottom w:type="dxa" w:w="60"/>
              <w:right w:type="dxa" w:w="100"/>
            </w:tcMar>
          </w:tcPr>
          <w:p>
            <w:r>
              <w:rPr>
                <w:sz w:val="19"/>
                <w:szCs w:val="19"/>
              </w:rPr>
              <w:t xml:space="preserve">BST-003</w:t>
            </w:r>
          </w:p>
        </w:tc>
        <w:tc>
          <w:tcPr>
            <w:tcW w:type="dxa" w:w="2700"/>
            <w:tcMar>
              <w:top w:type="dxa" w:w="60"/>
              <w:left w:type="dxa" w:w="100"/>
              <w:bottom w:type="dxa" w:w="60"/>
              <w:right w:type="dxa" w:w="100"/>
            </w:tcMar>
          </w:tcPr>
          <w:p>
            <w:r>
              <w:rPr>
                <w:sz w:val="19"/>
                <w:szCs w:val="19"/>
              </w:rPr>
              <w:t xml:space="preserve">Nestea Ice Tea Premix</w:t>
            </w:r>
          </w:p>
        </w:tc>
        <w:tc>
          <w:tcPr>
            <w:tcW w:type="dxa" w:w="1300"/>
            <w:tcMar>
              <w:top w:type="dxa" w:w="60"/>
              <w:left w:type="dxa" w:w="100"/>
              <w:bottom w:type="dxa" w:w="60"/>
              <w:right w:type="dxa" w:w="100"/>
            </w:tcMar>
          </w:tcPr>
          <w:p>
            <w:r>
              <w:rPr>
                <w:sz w:val="19"/>
                <w:szCs w:val="19"/>
              </w:rPr>
              <w:t xml:space="preserve">495</w:t>
            </w:r>
          </w:p>
        </w:tc>
        <w:tc>
          <w:tcPr>
            <w:tcW w:type="dxa" w:w="2400"/>
            <w:tcMar>
              <w:top w:type="dxa" w:w="60"/>
              <w:left w:type="dxa" w:w="100"/>
              <w:bottom w:type="dxa" w:w="60"/>
              <w:right w:type="dxa" w:w="100"/>
            </w:tcMar>
          </w:tcPr>
          <w:p>
            <w:r>
              <w:rPr>
                <w:sz w:val="19"/>
                <w:szCs w:val="19"/>
              </w:rPr>
              <w:t xml:space="preserve">Chaayos Tea Premixers</w:t>
            </w:r>
          </w:p>
        </w:tc>
        <w:tc>
          <w:tcPr>
            <w:tcW w:type="dxa" w:w="1200"/>
            <w:tcMar>
              <w:top w:type="dxa" w:w="60"/>
              <w:left w:type="dxa" w:w="100"/>
              <w:bottom w:type="dxa" w:w="60"/>
              <w:right w:type="dxa" w:w="100"/>
            </w:tcMar>
          </w:tcPr>
          <w:p>
            <w:r>
              <w:rPr>
                <w:sz w:val="19"/>
                <w:szCs w:val="19"/>
              </w:rPr>
              <w:t xml:space="preserve">₹140</w:t>
            </w:r>
          </w:p>
        </w:tc>
        <w:tc>
          <w:tcPr>
            <w:tcW w:type="dxa" w:w="1200"/>
            <w:tcMar>
              <w:top w:type="dxa" w:w="60"/>
              <w:left w:type="dxa" w:w="100"/>
              <w:bottom w:type="dxa" w:w="60"/>
              <w:right w:type="dxa" w:w="100"/>
            </w:tcMar>
          </w:tcPr>
          <w:p>
            <w:r>
              <w:rPr>
                <w:sz w:val="19"/>
                <w:szCs w:val="19"/>
              </w:rPr>
              <w:t xml:space="preserve">₹186</w:t>
            </w:r>
          </w:p>
        </w:tc>
        <w:tc>
          <w:tcPr>
            <w:tcW w:type="dxa" w:w="1500"/>
            <w:tcMar>
              <w:top w:type="dxa" w:w="60"/>
              <w:left w:type="dxa" w:w="100"/>
              <w:bottom w:type="dxa" w:w="60"/>
              <w:right w:type="dxa" w:w="100"/>
            </w:tcMar>
          </w:tcPr>
          <w:p>
            <w:r>
              <w:rPr>
                <w:sz w:val="19"/>
                <w:szCs w:val="19"/>
              </w:rPr>
              <w:t xml:space="preserve">₹21,384.00</w:t>
            </w:r>
          </w:p>
        </w:tc>
      </w:tr>
      <w:tr>
        <w:tc>
          <w:tcPr>
            <w:tcW w:type="dxa" w:w="1300"/>
            <w:tcMar>
              <w:top w:type="dxa" w:w="60"/>
              <w:left w:type="dxa" w:w="100"/>
              <w:bottom w:type="dxa" w:w="60"/>
              <w:right w:type="dxa" w:w="100"/>
            </w:tcMar>
          </w:tcPr>
          <w:p>
            <w:r>
              <w:rPr>
                <w:sz w:val="19"/>
                <w:szCs w:val="19"/>
              </w:rPr>
              <w:t xml:space="preserve">BST-001</w:t>
            </w:r>
          </w:p>
        </w:tc>
        <w:tc>
          <w:tcPr>
            <w:tcW w:type="dxa" w:w="2700"/>
            <w:tcMar>
              <w:top w:type="dxa" w:w="60"/>
              <w:left w:type="dxa" w:w="100"/>
              <w:bottom w:type="dxa" w:w="60"/>
              <w:right w:type="dxa" w:w="100"/>
            </w:tcMar>
          </w:tcPr>
          <w:p>
            <w:r>
              <w:rPr>
                <w:sz w:val="19"/>
                <w:szCs w:val="19"/>
              </w:rPr>
              <w:t xml:space="preserve">Nestea Ice Tea Premix</w:t>
            </w:r>
          </w:p>
        </w:tc>
        <w:tc>
          <w:tcPr>
            <w:tcW w:type="dxa" w:w="1300"/>
            <w:tcMar>
              <w:top w:type="dxa" w:w="60"/>
              <w:left w:type="dxa" w:w="100"/>
              <w:bottom w:type="dxa" w:w="60"/>
              <w:right w:type="dxa" w:w="100"/>
            </w:tcMar>
          </w:tcPr>
          <w:p>
            <w:r>
              <w:rPr>
                <w:sz w:val="19"/>
                <w:szCs w:val="19"/>
              </w:rPr>
              <w:t xml:space="preserve">478</w:t>
            </w:r>
          </w:p>
        </w:tc>
        <w:tc>
          <w:tcPr>
            <w:tcW w:type="dxa" w:w="2400"/>
            <w:tcMar>
              <w:top w:type="dxa" w:w="60"/>
              <w:left w:type="dxa" w:w="100"/>
              <w:bottom w:type="dxa" w:w="60"/>
              <w:right w:type="dxa" w:w="100"/>
            </w:tcMar>
          </w:tcPr>
          <w:p>
            <w:r>
              <w:rPr>
                <w:sz w:val="19"/>
                <w:szCs w:val="19"/>
              </w:rPr>
              <w:t xml:space="preserve">Chaayos Tea Premixers</w:t>
            </w:r>
          </w:p>
        </w:tc>
        <w:tc>
          <w:tcPr>
            <w:tcW w:type="dxa" w:w="1200"/>
            <w:tcMar>
              <w:top w:type="dxa" w:w="60"/>
              <w:left w:type="dxa" w:w="100"/>
              <w:bottom w:type="dxa" w:w="60"/>
              <w:right w:type="dxa" w:w="100"/>
            </w:tcMar>
          </w:tcPr>
          <w:p>
            <w:r>
              <w:rPr>
                <w:sz w:val="19"/>
                <w:szCs w:val="19"/>
              </w:rPr>
              <w:t xml:space="preserve">₹140</w:t>
            </w:r>
          </w:p>
        </w:tc>
        <w:tc>
          <w:tcPr>
            <w:tcW w:type="dxa" w:w="1200"/>
            <w:tcMar>
              <w:top w:type="dxa" w:w="60"/>
              <w:left w:type="dxa" w:w="100"/>
              <w:bottom w:type="dxa" w:w="60"/>
              <w:right w:type="dxa" w:w="100"/>
            </w:tcMar>
          </w:tcPr>
          <w:p>
            <w:r>
              <w:rPr>
                <w:sz w:val="19"/>
                <w:szCs w:val="19"/>
              </w:rPr>
              <w:t xml:space="preserve">₹186</w:t>
            </w:r>
          </w:p>
        </w:tc>
        <w:tc>
          <w:tcPr>
            <w:tcW w:type="dxa" w:w="1500"/>
            <w:tcMar>
              <w:top w:type="dxa" w:w="60"/>
              <w:left w:type="dxa" w:w="100"/>
              <w:bottom w:type="dxa" w:w="60"/>
              <w:right w:type="dxa" w:w="100"/>
            </w:tcMar>
          </w:tcPr>
          <w:p>
            <w:r>
              <w:rPr>
                <w:sz w:val="19"/>
                <w:szCs w:val="19"/>
              </w:rPr>
              <w:t xml:space="preserve">₹20,649.60</w:t>
            </w:r>
          </w:p>
        </w:tc>
      </w:tr>
      <w:tr>
        <w:tc>
          <w:tcPr>
            <w:tcW w:type="dxa" w:w="1300"/>
            <w:tcMar>
              <w:top w:type="dxa" w:w="60"/>
              <w:left w:type="dxa" w:w="100"/>
              <w:bottom w:type="dxa" w:w="60"/>
              <w:right w:type="dxa" w:w="100"/>
            </w:tcMar>
          </w:tcPr>
          <w:p>
            <w:r>
              <w:rPr>
                <w:sz w:val="19"/>
                <w:szCs w:val="19"/>
              </w:rPr>
              <w:t xml:space="preserve">BST-001</w:t>
            </w:r>
          </w:p>
        </w:tc>
        <w:tc>
          <w:tcPr>
            <w:tcW w:type="dxa" w:w="2700"/>
            <w:tcMar>
              <w:top w:type="dxa" w:w="60"/>
              <w:left w:type="dxa" w:w="100"/>
              <w:bottom w:type="dxa" w:w="60"/>
              <w:right w:type="dxa" w:w="100"/>
            </w:tcMar>
          </w:tcPr>
          <w:p>
            <w:r>
              <w:rPr>
                <w:sz w:val="19"/>
                <w:szCs w:val="19"/>
              </w:rPr>
              <w:t xml:space="preserve">Kellogg's Corn Flakes</w:t>
            </w:r>
          </w:p>
        </w:tc>
        <w:tc>
          <w:tcPr>
            <w:tcW w:type="dxa" w:w="1300"/>
            <w:tcMar>
              <w:top w:type="dxa" w:w="60"/>
              <w:left w:type="dxa" w:w="100"/>
              <w:bottom w:type="dxa" w:w="60"/>
              <w:right w:type="dxa" w:w="100"/>
            </w:tcMar>
          </w:tcPr>
          <w:p>
            <w:r>
              <w:rPr>
                <w:sz w:val="19"/>
                <w:szCs w:val="19"/>
              </w:rPr>
              <w:t xml:space="preserve">663</w:t>
            </w:r>
          </w:p>
        </w:tc>
        <w:tc>
          <w:tcPr>
            <w:tcW w:type="dxa" w:w="2400"/>
            <w:tcMar>
              <w:top w:type="dxa" w:w="60"/>
              <w:left w:type="dxa" w:w="100"/>
              <w:bottom w:type="dxa" w:w="60"/>
              <w:right w:type="dxa" w:w="100"/>
            </w:tcMar>
          </w:tcPr>
          <w:p>
            <w:r>
              <w:rPr>
                <w:sz w:val="19"/>
                <w:szCs w:val="19"/>
              </w:rPr>
              <w:t xml:space="preserve">Kellogg Cereal Packers</w:t>
            </w:r>
          </w:p>
        </w:tc>
        <w:tc>
          <w:tcPr>
            <w:tcW w:type="dxa" w:w="1200"/>
            <w:tcMar>
              <w:top w:type="dxa" w:w="60"/>
              <w:left w:type="dxa" w:w="100"/>
              <w:bottom w:type="dxa" w:w="60"/>
              <w:right w:type="dxa" w:w="100"/>
            </w:tcMar>
          </w:tcPr>
          <w:p>
            <w:r>
              <w:rPr>
                <w:sz w:val="19"/>
                <w:szCs w:val="19"/>
              </w:rPr>
              <w:t xml:space="preserve">₹90</w:t>
            </w:r>
          </w:p>
        </w:tc>
        <w:tc>
          <w:tcPr>
            <w:tcW w:type="dxa" w:w="1200"/>
            <w:tcMar>
              <w:top w:type="dxa" w:w="60"/>
              <w:left w:type="dxa" w:w="100"/>
              <w:bottom w:type="dxa" w:w="60"/>
              <w:right w:type="dxa" w:w="100"/>
            </w:tcMar>
          </w:tcPr>
          <w:p>
            <w:r>
              <w:rPr>
                <w:sz w:val="19"/>
                <w:szCs w:val="19"/>
              </w:rPr>
              <w:t xml:space="preserve">₹115</w:t>
            </w:r>
          </w:p>
        </w:tc>
        <w:tc>
          <w:tcPr>
            <w:tcW w:type="dxa" w:w="1500"/>
            <w:tcMar>
              <w:top w:type="dxa" w:w="60"/>
              <w:left w:type="dxa" w:w="100"/>
              <w:bottom w:type="dxa" w:w="60"/>
              <w:right w:type="dxa" w:w="100"/>
            </w:tcMar>
          </w:tcPr>
          <w:p>
            <w:r>
              <w:rPr>
                <w:sz w:val="19"/>
                <w:szCs w:val="19"/>
              </w:rPr>
              <w:t xml:space="preserve">₹15,381.60</w:t>
            </w:r>
          </w:p>
        </w:tc>
      </w:tr>
    </w:tbl>
    <w:p>
      <w:pPr>
        <w:spacing w:after="160" w:line="276"/>
      </w:pPr>
      <w:r>
        <w:rPr>
          <w:b/>
          <w:bCs/>
          <w:sz w:val="22"/>
          <w:szCs w:val="22"/>
        </w:rPr>
        <w:t xml:space="preserve">Across all 1,395 recommended actions for the next 14-day horizon, total expected profit uplift is ₹25,65,552 (₹25.7 lakh).</w:t>
      </w:r>
    </w:p>
    <w:p>
      <w:pPr>
        <w:pStyle w:val="Heading3"/>
        <w:spacing w:after="100" w:before="200"/>
      </w:pPr>
      <w:r>
        <w:t xml:space="preserve">Sample Reorder Trigger (Store BST-001)</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400"/>
        <w:gridCol w:w="2400"/>
      </w:tblGrid>
      <w:tr>
        <w:trPr>
          <w:tblHeader/>
        </w:trPr>
        <w:tc>
          <w:tcPr>
            <w:tcW w:type="dxa" w:w="4600"/>
            <w:shd w:fill="1F4E5F" w:val="clear"/>
            <w:tcMar>
              <w:top w:type="dxa" w:w="80"/>
              <w:left w:type="dxa" w:w="100"/>
              <w:bottom w:type="dxa" w:w="80"/>
              <w:right w:type="dxa" w:w="100"/>
            </w:tcMar>
          </w:tcPr>
          <w:p>
            <w:r>
              <w:rPr>
                <w:b/>
                <w:bCs/>
                <w:color w:val="FFFFFF"/>
                <w:sz w:val="19"/>
                <w:szCs w:val="19"/>
              </w:rPr>
              <w:t xml:space="preserve">Product</w:t>
            </w:r>
          </w:p>
        </w:tc>
        <w:tc>
          <w:tcPr>
            <w:tcW w:type="dxa" w:w="2400"/>
            <w:shd w:fill="1F4E5F" w:val="clear"/>
            <w:tcMar>
              <w:top w:type="dxa" w:w="80"/>
              <w:left w:type="dxa" w:w="100"/>
              <w:bottom w:type="dxa" w:w="80"/>
              <w:right w:type="dxa" w:w="100"/>
            </w:tcMar>
          </w:tcPr>
          <w:p>
            <w:r>
              <w:rPr>
                <w:b/>
                <w:bCs/>
                <w:color w:val="FFFFFF"/>
                <w:sz w:val="19"/>
                <w:szCs w:val="19"/>
              </w:rPr>
              <w:t xml:space="preserve">Available Stock</w:t>
            </w:r>
          </w:p>
        </w:tc>
        <w:tc>
          <w:tcPr>
            <w:tcW w:type="dxa" w:w="2400"/>
            <w:shd w:fill="1F4E5F" w:val="clear"/>
            <w:tcMar>
              <w:top w:type="dxa" w:w="80"/>
              <w:left w:type="dxa" w:w="100"/>
              <w:bottom w:type="dxa" w:w="80"/>
              <w:right w:type="dxa" w:w="100"/>
            </w:tcMar>
          </w:tcPr>
          <w:p>
            <w:r>
              <w:rPr>
                <w:b/>
                <w:bCs/>
                <w:color w:val="FFFFFF"/>
                <w:sz w:val="19"/>
                <w:szCs w:val="19"/>
              </w:rPr>
              <w:t xml:space="preserve">Reorder Point</w:t>
            </w:r>
          </w:p>
        </w:tc>
        <w:tc>
          <w:tcPr>
            <w:tcW w:type="dxa" w:w="2400"/>
            <w:shd w:fill="1F4E5F" w:val="clear"/>
            <w:tcMar>
              <w:top w:type="dxa" w:w="80"/>
              <w:left w:type="dxa" w:w="100"/>
              <w:bottom w:type="dxa" w:w="80"/>
              <w:right w:type="dxa" w:w="100"/>
            </w:tcMar>
          </w:tcPr>
          <w:p>
            <w:r>
              <w:rPr>
                <w:b/>
                <w:bCs/>
                <w:color w:val="FFFFFF"/>
                <w:sz w:val="19"/>
                <w:szCs w:val="19"/>
              </w:rPr>
              <w:t xml:space="preserve">Recommended Order Qty</w:t>
            </w:r>
          </w:p>
        </w:tc>
      </w:tr>
      <w:tr>
        <w:tc>
          <w:tcPr>
            <w:tcW w:type="dxa" w:w="4600"/>
            <w:tcMar>
              <w:top w:type="dxa" w:w="60"/>
              <w:left w:type="dxa" w:w="100"/>
              <w:bottom w:type="dxa" w:w="60"/>
              <w:right w:type="dxa" w:w="100"/>
            </w:tcMar>
          </w:tcPr>
          <w:p>
            <w:r>
              <w:rPr>
                <w:sz w:val="19"/>
                <w:szCs w:val="19"/>
              </w:rPr>
              <w:t xml:space="preserve">Bonn White Bread</w:t>
            </w:r>
          </w:p>
        </w:tc>
        <w:tc>
          <w:tcPr>
            <w:tcW w:type="dxa" w:w="2400"/>
            <w:tcMar>
              <w:top w:type="dxa" w:w="60"/>
              <w:left w:type="dxa" w:w="100"/>
              <w:bottom w:type="dxa" w:w="60"/>
              <w:right w:type="dxa" w:w="100"/>
            </w:tcMar>
          </w:tcPr>
          <w:p>
            <w:r>
              <w:rPr>
                <w:sz w:val="19"/>
                <w:szCs w:val="19"/>
              </w:rPr>
              <w:t xml:space="preserve">7</w:t>
            </w:r>
          </w:p>
        </w:tc>
        <w:tc>
          <w:tcPr>
            <w:tcW w:type="dxa" w:w="2400"/>
            <w:tcMar>
              <w:top w:type="dxa" w:w="60"/>
              <w:left w:type="dxa" w:w="100"/>
              <w:bottom w:type="dxa" w:w="60"/>
              <w:right w:type="dxa" w:w="100"/>
            </w:tcMar>
          </w:tcPr>
          <w:p>
            <w:r>
              <w:rPr>
                <w:sz w:val="19"/>
                <w:szCs w:val="19"/>
              </w:rPr>
              <w:t xml:space="preserve">31.4</w:t>
            </w:r>
          </w:p>
        </w:tc>
        <w:tc>
          <w:tcPr>
            <w:tcW w:type="dxa" w:w="2400"/>
            <w:tcMar>
              <w:top w:type="dxa" w:w="60"/>
              <w:left w:type="dxa" w:w="100"/>
              <w:bottom w:type="dxa" w:w="60"/>
              <w:right w:type="dxa" w:w="100"/>
            </w:tcMar>
          </w:tcPr>
          <w:p>
            <w:r>
              <w:rPr>
                <w:sz w:val="19"/>
                <w:szCs w:val="19"/>
              </w:rPr>
              <w:t xml:space="preserve">256</w:t>
            </w:r>
          </w:p>
        </w:tc>
      </w:tr>
      <w:tr>
        <w:tc>
          <w:tcPr>
            <w:tcW w:type="dxa" w:w="4600"/>
            <w:tcMar>
              <w:top w:type="dxa" w:w="60"/>
              <w:left w:type="dxa" w:w="100"/>
              <w:bottom w:type="dxa" w:w="60"/>
              <w:right w:type="dxa" w:w="100"/>
            </w:tcMar>
          </w:tcPr>
          <w:p>
            <w:r>
              <w:rPr>
                <w:sz w:val="19"/>
                <w:szCs w:val="19"/>
              </w:rPr>
              <w:t xml:space="preserve">Haldiram's Aloo Bhujia</w:t>
            </w:r>
          </w:p>
        </w:tc>
        <w:tc>
          <w:tcPr>
            <w:tcW w:type="dxa" w:w="2400"/>
            <w:tcMar>
              <w:top w:type="dxa" w:w="60"/>
              <w:left w:type="dxa" w:w="100"/>
              <w:bottom w:type="dxa" w:w="60"/>
              <w:right w:type="dxa" w:w="100"/>
            </w:tcMar>
          </w:tcPr>
          <w:p>
            <w:r>
              <w:rPr>
                <w:sz w:val="19"/>
                <w:szCs w:val="19"/>
              </w:rPr>
              <w:t xml:space="preserve">0</w:t>
            </w:r>
          </w:p>
        </w:tc>
        <w:tc>
          <w:tcPr>
            <w:tcW w:type="dxa" w:w="2400"/>
            <w:tcMar>
              <w:top w:type="dxa" w:w="60"/>
              <w:left w:type="dxa" w:w="100"/>
              <w:bottom w:type="dxa" w:w="60"/>
              <w:right w:type="dxa" w:w="100"/>
            </w:tcMar>
          </w:tcPr>
          <w:p>
            <w:r>
              <w:rPr>
                <w:sz w:val="19"/>
                <w:szCs w:val="19"/>
              </w:rPr>
              <w:t xml:space="preserve">20.7</w:t>
            </w:r>
          </w:p>
        </w:tc>
        <w:tc>
          <w:tcPr>
            <w:tcW w:type="dxa" w:w="2400"/>
            <w:tcMar>
              <w:top w:type="dxa" w:w="60"/>
              <w:left w:type="dxa" w:w="100"/>
              <w:bottom w:type="dxa" w:w="60"/>
              <w:right w:type="dxa" w:w="100"/>
            </w:tcMar>
          </w:tcPr>
          <w:p>
            <w:r>
              <w:rPr>
                <w:sz w:val="19"/>
                <w:szCs w:val="19"/>
              </w:rPr>
              <w:t xml:space="preserve">175</w:t>
            </w:r>
          </w:p>
        </w:tc>
      </w:tr>
      <w:tr>
        <w:tc>
          <w:tcPr>
            <w:tcW w:type="dxa" w:w="4600"/>
            <w:tcMar>
              <w:top w:type="dxa" w:w="60"/>
              <w:left w:type="dxa" w:w="100"/>
              <w:bottom w:type="dxa" w:w="60"/>
              <w:right w:type="dxa" w:w="100"/>
            </w:tcMar>
          </w:tcPr>
          <w:p>
            <w:r>
              <w:rPr>
                <w:sz w:val="19"/>
                <w:szCs w:val="19"/>
              </w:rPr>
              <w:t xml:space="preserve">Real Activ Tender Coconut Water</w:t>
            </w:r>
          </w:p>
        </w:tc>
        <w:tc>
          <w:tcPr>
            <w:tcW w:type="dxa" w:w="2400"/>
            <w:tcMar>
              <w:top w:type="dxa" w:w="60"/>
              <w:left w:type="dxa" w:w="100"/>
              <w:bottom w:type="dxa" w:w="60"/>
              <w:right w:type="dxa" w:w="100"/>
            </w:tcMar>
          </w:tcPr>
          <w:p>
            <w:r>
              <w:rPr>
                <w:sz w:val="19"/>
                <w:szCs w:val="19"/>
              </w:rPr>
              <w:t xml:space="preserve">13</w:t>
            </w:r>
          </w:p>
        </w:tc>
        <w:tc>
          <w:tcPr>
            <w:tcW w:type="dxa" w:w="2400"/>
            <w:tcMar>
              <w:top w:type="dxa" w:w="60"/>
              <w:left w:type="dxa" w:w="100"/>
              <w:bottom w:type="dxa" w:w="60"/>
              <w:right w:type="dxa" w:w="100"/>
            </w:tcMar>
          </w:tcPr>
          <w:p>
            <w:r>
              <w:rPr>
                <w:sz w:val="19"/>
                <w:szCs w:val="19"/>
              </w:rPr>
              <w:t xml:space="preserve">19.6</w:t>
            </w:r>
          </w:p>
        </w:tc>
        <w:tc>
          <w:tcPr>
            <w:tcW w:type="dxa" w:w="2400"/>
            <w:tcMar>
              <w:top w:type="dxa" w:w="60"/>
              <w:left w:type="dxa" w:w="100"/>
              <w:bottom w:type="dxa" w:w="60"/>
              <w:right w:type="dxa" w:w="100"/>
            </w:tcMar>
          </w:tcPr>
          <w:p>
            <w:r>
              <w:rPr>
                <w:sz w:val="19"/>
                <w:szCs w:val="19"/>
              </w:rPr>
              <w:t xml:space="preserve">145</w:t>
            </w:r>
          </w:p>
        </w:tc>
      </w:tr>
      <w:tr>
        <w:tc>
          <w:tcPr>
            <w:tcW w:type="dxa" w:w="4600"/>
            <w:tcMar>
              <w:top w:type="dxa" w:w="60"/>
              <w:left w:type="dxa" w:w="100"/>
              <w:bottom w:type="dxa" w:w="60"/>
              <w:right w:type="dxa" w:w="100"/>
            </w:tcMar>
          </w:tcPr>
          <w:p>
            <w:r>
              <w:rPr>
                <w:sz w:val="19"/>
                <w:szCs w:val="19"/>
              </w:rPr>
              <w:t xml:space="preserve">Nestea Ice Tea Premix</w:t>
            </w:r>
          </w:p>
        </w:tc>
        <w:tc>
          <w:tcPr>
            <w:tcW w:type="dxa" w:w="2400"/>
            <w:tcMar>
              <w:top w:type="dxa" w:w="60"/>
              <w:left w:type="dxa" w:w="100"/>
              <w:bottom w:type="dxa" w:w="60"/>
              <w:right w:type="dxa" w:w="100"/>
            </w:tcMar>
          </w:tcPr>
          <w:p>
            <w:r>
              <w:rPr>
                <w:sz w:val="19"/>
                <w:szCs w:val="19"/>
              </w:rPr>
              <w:t xml:space="preserve">85</w:t>
            </w:r>
          </w:p>
        </w:tc>
        <w:tc>
          <w:tcPr>
            <w:tcW w:type="dxa" w:w="2400"/>
            <w:tcMar>
              <w:top w:type="dxa" w:w="60"/>
              <w:left w:type="dxa" w:w="100"/>
              <w:bottom w:type="dxa" w:w="60"/>
              <w:right w:type="dxa" w:w="100"/>
            </w:tcMar>
          </w:tcPr>
          <w:p>
            <w:r>
              <w:rPr>
                <w:sz w:val="19"/>
                <w:szCs w:val="19"/>
              </w:rPr>
              <w:t xml:space="preserve">467.3</w:t>
            </w:r>
          </w:p>
        </w:tc>
        <w:tc>
          <w:tcPr>
            <w:tcW w:type="dxa" w:w="2400"/>
            <w:tcMar>
              <w:top w:type="dxa" w:w="60"/>
              <w:left w:type="dxa" w:w="100"/>
              <w:bottom w:type="dxa" w:w="60"/>
              <w:right w:type="dxa" w:w="100"/>
            </w:tcMar>
          </w:tcPr>
          <w:p>
            <w:r>
              <w:rPr>
                <w:sz w:val="19"/>
                <w:szCs w:val="19"/>
              </w:rPr>
              <w:t xml:space="preserve">478</w:t>
            </w:r>
          </w:p>
        </w:tc>
      </w:tr>
    </w:tbl>
    <w:p>
      <w:pPr>
        <w:pStyle w:val="Heading3"/>
        <w:spacing w:after="100" w:before="200"/>
      </w:pPr>
      <w:r>
        <w:t xml:space="preserve">Sample Stock Transfer Recommendation (Delhi NCR, PROD-001)</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3000"/>
      </w:tblGrid>
      <w:tr>
        <w:trPr>
          <w:tblHeader/>
        </w:trPr>
        <w:tc>
          <w:tcPr>
            <w:tcW w:type="dxa" w:w="3000"/>
            <w:shd w:fill="1F4E5F" w:val="clear"/>
            <w:tcMar>
              <w:top w:type="dxa" w:w="80"/>
              <w:left w:type="dxa" w:w="100"/>
              <w:bottom w:type="dxa" w:w="80"/>
              <w:right w:type="dxa" w:w="100"/>
            </w:tcMar>
          </w:tcPr>
          <w:p>
            <w:r>
              <w:rPr>
                <w:b/>
                <w:bCs/>
                <w:color w:val="FFFFFF"/>
                <w:sz w:val="19"/>
                <w:szCs w:val="19"/>
              </w:rPr>
              <w:t xml:space="preserve">From Store</w:t>
            </w:r>
          </w:p>
        </w:tc>
        <w:tc>
          <w:tcPr>
            <w:tcW w:type="dxa" w:w="3000"/>
            <w:shd w:fill="1F4E5F" w:val="clear"/>
            <w:tcMar>
              <w:top w:type="dxa" w:w="80"/>
              <w:left w:type="dxa" w:w="100"/>
              <w:bottom w:type="dxa" w:w="80"/>
              <w:right w:type="dxa" w:w="100"/>
            </w:tcMar>
          </w:tcPr>
          <w:p>
            <w:r>
              <w:rPr>
                <w:b/>
                <w:bCs/>
                <w:color w:val="FFFFFF"/>
                <w:sz w:val="19"/>
                <w:szCs w:val="19"/>
              </w:rPr>
              <w:t xml:space="preserve">To Store</w:t>
            </w:r>
          </w:p>
        </w:tc>
        <w:tc>
          <w:tcPr>
            <w:tcW w:type="dxa" w:w="3000"/>
            <w:shd w:fill="1F4E5F" w:val="clear"/>
            <w:tcMar>
              <w:top w:type="dxa" w:w="80"/>
              <w:left w:type="dxa" w:w="100"/>
              <w:bottom w:type="dxa" w:w="80"/>
              <w:right w:type="dxa" w:w="100"/>
            </w:tcMar>
          </w:tcPr>
          <w:p>
            <w:r>
              <w:rPr>
                <w:b/>
                <w:bCs/>
                <w:color w:val="FFFFFF"/>
                <w:sz w:val="19"/>
                <w:szCs w:val="19"/>
              </w:rPr>
              <w:t xml:space="preserve">City</w:t>
            </w:r>
          </w:p>
        </w:tc>
        <w:tc>
          <w:tcPr>
            <w:tcW w:type="dxa" w:w="3000"/>
            <w:shd w:fill="1F4E5F" w:val="clear"/>
            <w:tcMar>
              <w:top w:type="dxa" w:w="80"/>
              <w:left w:type="dxa" w:w="100"/>
              <w:bottom w:type="dxa" w:w="80"/>
              <w:right w:type="dxa" w:w="100"/>
            </w:tcMar>
          </w:tcPr>
          <w:p>
            <w:r>
              <w:rPr>
                <w:b/>
                <w:bCs/>
                <w:color w:val="FFFFFF"/>
                <w:sz w:val="19"/>
                <w:szCs w:val="19"/>
              </w:rPr>
              <w:t xml:space="preserve">Transfer Qty</w:t>
            </w:r>
          </w:p>
        </w:tc>
      </w:tr>
      <w:tr>
        <w:tc>
          <w:tcPr>
            <w:tcW w:type="dxa" w:w="3000"/>
            <w:tcMar>
              <w:top w:type="dxa" w:w="60"/>
              <w:left w:type="dxa" w:w="100"/>
              <w:bottom w:type="dxa" w:w="60"/>
              <w:right w:type="dxa" w:w="100"/>
            </w:tcMar>
          </w:tcPr>
          <w:p>
            <w:r>
              <w:rPr>
                <w:sz w:val="19"/>
                <w:szCs w:val="19"/>
              </w:rPr>
              <w:t xml:space="preserve">BST-009</w:t>
            </w:r>
          </w:p>
        </w:tc>
        <w:tc>
          <w:tcPr>
            <w:tcW w:type="dxa" w:w="3000"/>
            <w:tcMar>
              <w:top w:type="dxa" w:w="60"/>
              <w:left w:type="dxa" w:w="100"/>
              <w:bottom w:type="dxa" w:w="60"/>
              <w:right w:type="dxa" w:w="100"/>
            </w:tcMar>
          </w:tcPr>
          <w:p>
            <w:r>
              <w:rPr>
                <w:sz w:val="19"/>
                <w:szCs w:val="19"/>
              </w:rPr>
              <w:t xml:space="preserve">BST-008</w:t>
            </w:r>
          </w:p>
        </w:tc>
        <w:tc>
          <w:tcPr>
            <w:tcW w:type="dxa" w:w="3000"/>
            <w:tcMar>
              <w:top w:type="dxa" w:w="60"/>
              <w:left w:type="dxa" w:w="100"/>
              <w:bottom w:type="dxa" w:w="60"/>
              <w:right w:type="dxa" w:w="100"/>
            </w:tcMar>
          </w:tcPr>
          <w:p>
            <w:r>
              <w:rPr>
                <w:sz w:val="19"/>
                <w:szCs w:val="19"/>
              </w:rPr>
              <w:t xml:space="preserve">Delhi NCR</w:t>
            </w:r>
          </w:p>
        </w:tc>
        <w:tc>
          <w:tcPr>
            <w:tcW w:type="dxa" w:w="3000"/>
            <w:tcMar>
              <w:top w:type="dxa" w:w="60"/>
              <w:left w:type="dxa" w:w="100"/>
              <w:bottom w:type="dxa" w:w="60"/>
              <w:right w:type="dxa" w:w="100"/>
            </w:tcMar>
          </w:tcPr>
          <w:p>
            <w:r>
              <w:rPr>
                <w:sz w:val="19"/>
                <w:szCs w:val="19"/>
              </w:rPr>
              <w:t xml:space="preserve">41</w:t>
            </w:r>
          </w:p>
        </w:tc>
      </w:tr>
      <w:tr>
        <w:tc>
          <w:tcPr>
            <w:tcW w:type="dxa" w:w="3000"/>
            <w:tcMar>
              <w:top w:type="dxa" w:w="60"/>
              <w:left w:type="dxa" w:w="100"/>
              <w:bottom w:type="dxa" w:w="60"/>
              <w:right w:type="dxa" w:w="100"/>
            </w:tcMar>
          </w:tcPr>
          <w:p>
            <w:r>
              <w:rPr>
                <w:sz w:val="19"/>
                <w:szCs w:val="19"/>
              </w:rPr>
              <w:t xml:space="preserve">BST-009</w:t>
            </w:r>
          </w:p>
        </w:tc>
        <w:tc>
          <w:tcPr>
            <w:tcW w:type="dxa" w:w="3000"/>
            <w:tcMar>
              <w:top w:type="dxa" w:w="60"/>
              <w:left w:type="dxa" w:w="100"/>
              <w:bottom w:type="dxa" w:w="60"/>
              <w:right w:type="dxa" w:w="100"/>
            </w:tcMar>
          </w:tcPr>
          <w:p>
            <w:r>
              <w:rPr>
                <w:sz w:val="19"/>
                <w:szCs w:val="19"/>
              </w:rPr>
              <w:t xml:space="preserve">BST-011</w:t>
            </w:r>
          </w:p>
        </w:tc>
        <w:tc>
          <w:tcPr>
            <w:tcW w:type="dxa" w:w="3000"/>
            <w:tcMar>
              <w:top w:type="dxa" w:w="60"/>
              <w:left w:type="dxa" w:w="100"/>
              <w:bottom w:type="dxa" w:w="60"/>
              <w:right w:type="dxa" w:w="100"/>
            </w:tcMar>
          </w:tcPr>
          <w:p>
            <w:r>
              <w:rPr>
                <w:sz w:val="19"/>
                <w:szCs w:val="19"/>
              </w:rPr>
              <w:t xml:space="preserve">Delhi NCR</w:t>
            </w:r>
          </w:p>
        </w:tc>
        <w:tc>
          <w:tcPr>
            <w:tcW w:type="dxa" w:w="3000"/>
            <w:tcMar>
              <w:top w:type="dxa" w:w="60"/>
              <w:left w:type="dxa" w:w="100"/>
              <w:bottom w:type="dxa" w:w="60"/>
              <w:right w:type="dxa" w:w="100"/>
            </w:tcMar>
          </w:tcPr>
          <w:p>
            <w:r>
              <w:rPr>
                <w:sz w:val="19"/>
                <w:szCs w:val="19"/>
              </w:rPr>
              <w:t xml:space="preserve">34</w:t>
            </w:r>
          </w:p>
        </w:tc>
      </w:tr>
      <w:tr>
        <w:tc>
          <w:tcPr>
            <w:tcW w:type="dxa" w:w="3000"/>
            <w:tcMar>
              <w:top w:type="dxa" w:w="60"/>
              <w:left w:type="dxa" w:w="100"/>
              <w:bottom w:type="dxa" w:w="60"/>
              <w:right w:type="dxa" w:w="100"/>
            </w:tcMar>
          </w:tcPr>
          <w:p>
            <w:r>
              <w:rPr>
                <w:sz w:val="19"/>
                <w:szCs w:val="19"/>
              </w:rPr>
              <w:t xml:space="preserve">BST-009</w:t>
            </w:r>
          </w:p>
        </w:tc>
        <w:tc>
          <w:tcPr>
            <w:tcW w:type="dxa" w:w="3000"/>
            <w:tcMar>
              <w:top w:type="dxa" w:w="60"/>
              <w:left w:type="dxa" w:w="100"/>
              <w:bottom w:type="dxa" w:w="60"/>
              <w:right w:type="dxa" w:w="100"/>
            </w:tcMar>
          </w:tcPr>
          <w:p>
            <w:r>
              <w:rPr>
                <w:sz w:val="19"/>
                <w:szCs w:val="19"/>
              </w:rPr>
              <w:t xml:space="preserve">BST-014</w:t>
            </w:r>
          </w:p>
        </w:tc>
        <w:tc>
          <w:tcPr>
            <w:tcW w:type="dxa" w:w="3000"/>
            <w:tcMar>
              <w:top w:type="dxa" w:w="60"/>
              <w:left w:type="dxa" w:w="100"/>
              <w:bottom w:type="dxa" w:w="60"/>
              <w:right w:type="dxa" w:w="100"/>
            </w:tcMar>
          </w:tcPr>
          <w:p>
            <w:r>
              <w:rPr>
                <w:sz w:val="19"/>
                <w:szCs w:val="19"/>
              </w:rPr>
              <w:t xml:space="preserve">Delhi NCR</w:t>
            </w:r>
          </w:p>
        </w:tc>
        <w:tc>
          <w:tcPr>
            <w:tcW w:type="dxa" w:w="3000"/>
            <w:tcMar>
              <w:top w:type="dxa" w:w="60"/>
              <w:left w:type="dxa" w:w="100"/>
              <w:bottom w:type="dxa" w:w="60"/>
              <w:right w:type="dxa" w:w="100"/>
            </w:tcMar>
          </w:tcPr>
          <w:p>
            <w:r>
              <w:rPr>
                <w:sz w:val="19"/>
                <w:szCs w:val="19"/>
              </w:rPr>
              <w:t xml:space="preserve">33</w:t>
            </w:r>
          </w:p>
        </w:tc>
      </w:tr>
    </w:tbl>
    <w:p>
      <w:pPr>
        <w:spacing w:after="160" w:line="276"/>
      </w:pPr>
      <w:r>
        <w:rPr>
          <w:color w:val="595959"/>
          <w:sz w:val="20"/>
          <w:szCs w:val="20"/>
        </w:rPr>
        <w:t xml:space="preserve">303 such transfer recommendations were generated across the network — each one satisfies a store's shortage using another store's surplus stock instead of triggering a new supplier order, directly reducing procurement spend.</w:t>
      </w:r>
    </w:p>
    <w:p>
      <w:r>
        <w:br w:type="page"/>
      </w:r>
    </w:p>
    <w:p>
      <w:pPr>
        <w:pStyle w:val="Heading1"/>
        <w:spacing w:after="160" w:before="360"/>
      </w:pPr>
      <w:r>
        <w:t xml:space="preserve">8.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Layer</w:t>
            </w:r>
          </w:p>
        </w:tc>
        <w:tc>
          <w:tcPr>
            <w:tcW w:type="dxa" w:w="3200"/>
            <w:shd w:fill="1F4E5F" w:val="clear"/>
            <w:tcMar>
              <w:top w:type="dxa" w:w="80"/>
              <w:left w:type="dxa" w:w="100"/>
              <w:bottom w:type="dxa" w:w="80"/>
              <w:right w:type="dxa" w:w="100"/>
            </w:tcMar>
          </w:tcPr>
          <w:p>
            <w:r>
              <w:rPr>
                <w:b/>
                <w:bCs/>
                <w:color w:val="FFFFFF"/>
                <w:sz w:val="19"/>
                <w:szCs w:val="19"/>
              </w:rPr>
              <w:t xml:space="preserve">Technology</w:t>
            </w:r>
          </w:p>
        </w:tc>
        <w:tc>
          <w:tcPr>
            <w:tcW w:type="dxa" w:w="3400"/>
            <w:shd w:fill="1F4E5F" w:val="clear"/>
            <w:tcMar>
              <w:top w:type="dxa" w:w="80"/>
              <w:left w:type="dxa" w:w="100"/>
              <w:bottom w:type="dxa" w:w="80"/>
              <w:right w:type="dxa" w:w="100"/>
            </w:tcMar>
          </w:tcPr>
          <w:p>
            <w:r>
              <w:rPr>
                <w:b/>
                <w:bCs/>
                <w:color w:val="FFFFFF"/>
                <w:sz w:val="19"/>
                <w:szCs w:val="19"/>
              </w:rPr>
              <w:t xml:space="preserve">Role in this Project</w:t>
            </w:r>
          </w:p>
        </w:tc>
      </w:tr>
      <w:tr>
        <w:tc>
          <w:tcPr>
            <w:tcW w:type="dxa" w:w="2400"/>
            <w:tcMar>
              <w:top w:type="dxa" w:w="60"/>
              <w:left w:type="dxa" w:w="100"/>
              <w:bottom w:type="dxa" w:w="60"/>
              <w:right w:type="dxa" w:w="100"/>
            </w:tcMar>
          </w:tcPr>
          <w:p>
            <w:r>
              <w:rPr>
                <w:sz w:val="19"/>
                <w:szCs w:val="19"/>
              </w:rPr>
              <w:t xml:space="preserve">Data processing</w:t>
            </w:r>
          </w:p>
        </w:tc>
        <w:tc>
          <w:tcPr>
            <w:tcW w:type="dxa" w:w="3200"/>
            <w:tcMar>
              <w:top w:type="dxa" w:w="60"/>
              <w:left w:type="dxa" w:w="100"/>
              <w:bottom w:type="dxa" w:w="60"/>
              <w:right w:type="dxa" w:w="100"/>
            </w:tcMar>
          </w:tcPr>
          <w:p>
            <w:r>
              <w:rPr>
                <w:sz w:val="19"/>
                <w:szCs w:val="19"/>
              </w:rPr>
              <w:t xml:space="preserve">Python, Pandas, NumPy</w:t>
            </w:r>
          </w:p>
        </w:tc>
        <w:tc>
          <w:tcPr>
            <w:tcW w:type="dxa" w:w="3400"/>
            <w:tcMar>
              <w:top w:type="dxa" w:w="60"/>
              <w:left w:type="dxa" w:w="100"/>
              <w:bottom w:type="dxa" w:w="60"/>
              <w:right w:type="dxa" w:w="100"/>
            </w:tcMar>
          </w:tcPr>
          <w:p>
            <w:r>
              <w:rPr>
                <w:sz w:val="19"/>
                <w:szCs w:val="19"/>
              </w:rPr>
              <w:t xml:space="preserve">Feature engineering on 2.5M+ row panel</w:t>
            </w:r>
          </w:p>
        </w:tc>
      </w:tr>
      <w:tr>
        <w:tc>
          <w:tcPr>
            <w:tcW w:type="dxa" w:w="2400"/>
            <w:tcMar>
              <w:top w:type="dxa" w:w="60"/>
              <w:left w:type="dxa" w:w="100"/>
              <w:bottom w:type="dxa" w:w="60"/>
              <w:right w:type="dxa" w:w="100"/>
            </w:tcMar>
          </w:tcPr>
          <w:p>
            <w:r>
              <w:rPr>
                <w:sz w:val="19"/>
                <w:szCs w:val="19"/>
              </w:rPr>
              <w:t xml:space="preserve">Forecasting model</w:t>
            </w:r>
          </w:p>
        </w:tc>
        <w:tc>
          <w:tcPr>
            <w:tcW w:type="dxa" w:w="3200"/>
            <w:tcMar>
              <w:top w:type="dxa" w:w="60"/>
              <w:left w:type="dxa" w:w="100"/>
              <w:bottom w:type="dxa" w:w="60"/>
              <w:right w:type="dxa" w:w="100"/>
            </w:tcMar>
          </w:tcPr>
          <w:p>
            <w:r>
              <w:rPr>
                <w:sz w:val="19"/>
                <w:szCs w:val="19"/>
              </w:rPr>
              <w:t xml:space="preserve">LightGBM (Poisson objective)</w:t>
            </w:r>
          </w:p>
        </w:tc>
        <w:tc>
          <w:tcPr>
            <w:tcW w:type="dxa" w:w="3400"/>
            <w:tcMar>
              <w:top w:type="dxa" w:w="60"/>
              <w:left w:type="dxa" w:w="100"/>
              <w:bottom w:type="dxa" w:w="60"/>
              <w:right w:type="dxa" w:w="100"/>
            </w:tcMar>
          </w:tcPr>
          <w:p>
            <w:r>
              <w:rPr>
                <w:sz w:val="19"/>
                <w:szCs w:val="19"/>
              </w:rPr>
              <w:t xml:space="preserve">Global demand model across 3,500 series</w:t>
            </w:r>
          </w:p>
        </w:tc>
      </w:tr>
      <w:tr>
        <w:tc>
          <w:tcPr>
            <w:tcW w:type="dxa" w:w="2400"/>
            <w:tcMar>
              <w:top w:type="dxa" w:w="60"/>
              <w:left w:type="dxa" w:w="100"/>
              <w:bottom w:type="dxa" w:w="60"/>
              <w:right w:type="dxa" w:w="100"/>
            </w:tcMar>
          </w:tcPr>
          <w:p>
            <w:r>
              <w:rPr>
                <w:sz w:val="19"/>
                <w:szCs w:val="19"/>
              </w:rPr>
              <w:t xml:space="preserve">Evaluation</w:t>
            </w:r>
          </w:p>
        </w:tc>
        <w:tc>
          <w:tcPr>
            <w:tcW w:type="dxa" w:w="3200"/>
            <w:tcMar>
              <w:top w:type="dxa" w:w="60"/>
              <w:left w:type="dxa" w:w="100"/>
              <w:bottom w:type="dxa" w:w="60"/>
              <w:right w:type="dxa" w:w="100"/>
            </w:tcMar>
          </w:tcPr>
          <w:p>
            <w:r>
              <w:rPr>
                <w:sz w:val="19"/>
                <w:szCs w:val="19"/>
              </w:rPr>
              <w:t xml:space="preserve">Scikit-learn metrics, custom WAPE</w:t>
            </w:r>
          </w:p>
        </w:tc>
        <w:tc>
          <w:tcPr>
            <w:tcW w:type="dxa" w:w="3400"/>
            <w:tcMar>
              <w:top w:type="dxa" w:w="60"/>
              <w:left w:type="dxa" w:w="100"/>
              <w:bottom w:type="dxa" w:w="60"/>
              <w:right w:type="dxa" w:w="100"/>
            </w:tcMar>
          </w:tcPr>
          <w:p>
            <w:r>
              <w:rPr>
                <w:sz w:val="19"/>
                <w:szCs w:val="19"/>
              </w:rPr>
              <w:t xml:space="preserve">Time-based backtesting</w:t>
            </w:r>
          </w:p>
        </w:tc>
      </w:tr>
      <w:tr>
        <w:tc>
          <w:tcPr>
            <w:tcW w:type="dxa" w:w="2400"/>
            <w:tcMar>
              <w:top w:type="dxa" w:w="60"/>
              <w:left w:type="dxa" w:w="100"/>
              <w:bottom w:type="dxa" w:w="60"/>
              <w:right w:type="dxa" w:w="100"/>
            </w:tcMar>
          </w:tcPr>
          <w:p>
            <w:r>
              <w:rPr>
                <w:sz w:val="19"/>
                <w:szCs w:val="19"/>
              </w:rPr>
              <w:t xml:space="preserve">Orchestration</w:t>
            </w:r>
          </w:p>
        </w:tc>
        <w:tc>
          <w:tcPr>
            <w:tcW w:type="dxa" w:w="3200"/>
            <w:tcMar>
              <w:top w:type="dxa" w:w="60"/>
              <w:left w:type="dxa" w:w="100"/>
              <w:bottom w:type="dxa" w:w="60"/>
              <w:right w:type="dxa" w:w="100"/>
            </w:tcMar>
          </w:tcPr>
          <w:p>
            <w:r>
              <w:rPr>
                <w:sz w:val="19"/>
                <w:szCs w:val="19"/>
              </w:rPr>
              <w:t xml:space="preserve">Modular Python package (src/)</w:t>
            </w:r>
          </w:p>
        </w:tc>
        <w:tc>
          <w:tcPr>
            <w:tcW w:type="dxa" w:w="3400"/>
            <w:tcMar>
              <w:top w:type="dxa" w:w="60"/>
              <w:left w:type="dxa" w:w="100"/>
              <w:bottom w:type="dxa" w:w="60"/>
              <w:right w:type="dxa" w:w="100"/>
            </w:tcMar>
          </w:tcPr>
          <w:p>
            <w:r>
              <w:rPr>
                <w:sz w:val="19"/>
                <w:szCs w:val="19"/>
              </w:rPr>
              <w:t xml:space="preserve">Reusable, testable pipeline stages</w:t>
            </w:r>
          </w:p>
        </w:tc>
      </w:tr>
      <w:tr>
        <w:tc>
          <w:tcPr>
            <w:tcW w:type="dxa" w:w="2400"/>
            <w:tcMar>
              <w:top w:type="dxa" w:w="60"/>
              <w:left w:type="dxa" w:w="100"/>
              <w:bottom w:type="dxa" w:w="60"/>
              <w:right w:type="dxa" w:w="100"/>
            </w:tcMar>
          </w:tcPr>
          <w:p>
            <w:r>
              <w:rPr>
                <w:sz w:val="19"/>
                <w:szCs w:val="19"/>
              </w:rPr>
              <w:t xml:space="preserve">Planned backend</w:t>
            </w:r>
          </w:p>
        </w:tc>
        <w:tc>
          <w:tcPr>
            <w:tcW w:type="dxa" w:w="3200"/>
            <w:tcMar>
              <w:top w:type="dxa" w:w="60"/>
              <w:left w:type="dxa" w:w="100"/>
              <w:bottom w:type="dxa" w:w="60"/>
              <w:right w:type="dxa" w:w="100"/>
            </w:tcMar>
          </w:tcPr>
          <w:p>
            <w:r>
              <w:rPr>
                <w:sz w:val="19"/>
                <w:szCs w:val="19"/>
              </w:rPr>
              <w:t xml:space="preserve">FastAPI + PostgreSQL</w:t>
            </w:r>
          </w:p>
        </w:tc>
        <w:tc>
          <w:tcPr>
            <w:tcW w:type="dxa" w:w="3400"/>
            <w:tcMar>
              <w:top w:type="dxa" w:w="60"/>
              <w:left w:type="dxa" w:w="100"/>
              <w:bottom w:type="dxa" w:w="60"/>
              <w:right w:type="dxa" w:w="100"/>
            </w:tcMar>
          </w:tcPr>
          <w:p>
            <w:r>
              <w:rPr>
                <w:sz w:val="19"/>
                <w:szCs w:val="19"/>
              </w:rPr>
              <w:t xml:space="preserve">Serve recommendations to dashboard</w:t>
            </w:r>
          </w:p>
        </w:tc>
      </w:tr>
      <w:tr>
        <w:tc>
          <w:tcPr>
            <w:tcW w:type="dxa" w:w="2400"/>
            <w:tcMar>
              <w:top w:type="dxa" w:w="60"/>
              <w:left w:type="dxa" w:w="100"/>
              <w:bottom w:type="dxa" w:w="60"/>
              <w:right w:type="dxa" w:w="100"/>
            </w:tcMar>
          </w:tcPr>
          <w:p>
            <w:r>
              <w:rPr>
                <w:sz w:val="19"/>
                <w:szCs w:val="19"/>
              </w:rPr>
              <w:t xml:space="preserve">Planned frontend</w:t>
            </w:r>
          </w:p>
        </w:tc>
        <w:tc>
          <w:tcPr>
            <w:tcW w:type="dxa" w:w="3200"/>
            <w:tcMar>
              <w:top w:type="dxa" w:w="60"/>
              <w:left w:type="dxa" w:w="100"/>
              <w:bottom w:type="dxa" w:w="60"/>
              <w:right w:type="dxa" w:w="100"/>
            </w:tcMar>
          </w:tcPr>
          <w:p>
            <w:r>
              <w:rPr>
                <w:sz w:val="19"/>
                <w:szCs w:val="19"/>
              </w:rPr>
              <w:t xml:space="preserve">React.js + Tailwind CSS</w:t>
            </w:r>
          </w:p>
        </w:tc>
        <w:tc>
          <w:tcPr>
            <w:tcW w:type="dxa" w:w="3400"/>
            <w:tcMar>
              <w:top w:type="dxa" w:w="60"/>
              <w:left w:type="dxa" w:w="100"/>
              <w:bottom w:type="dxa" w:w="60"/>
              <w:right w:type="dxa" w:w="100"/>
            </w:tcMar>
          </w:tcPr>
          <w:p>
            <w:r>
              <w:rPr>
                <w:sz w:val="19"/>
                <w:szCs w:val="19"/>
              </w:rPr>
              <w:t xml:space="preserve">Central Admin dashboard</w:t>
            </w:r>
          </w:p>
        </w:tc>
      </w:tr>
    </w:tbl>
    <w:p>
      <w:pPr>
        <w:pStyle w:val="Heading1"/>
        <w:spacing w:after="160" w:before="360"/>
      </w:pPr>
      <w:r>
        <w:t xml:space="preserve">9. Limitations &amp; Future Work</w:t>
      </w:r>
    </w:p>
    <w:p>
      <w:pPr>
        <w:pStyle w:val="ListParagraph"/>
        <w:numPr>
          <w:ilvl w:val="0"/>
          <w:numId w:val="2"/>
        </w:numPr>
        <w:spacing w:after="80"/>
      </w:pPr>
      <w:r>
        <w:rPr>
          <w:sz w:val="22"/>
          <w:szCs w:val="22"/>
        </w:rPr>
        <w:t xml:space="preserve">Recursive multi-step forecasting compounds error over the horizon; a direct multi-horizon model (separate model per forecast day) could improve accuracy beyond ~14 days</w:t>
      </w:r>
    </w:p>
    <w:p>
      <w:pPr>
        <w:pStyle w:val="ListParagraph"/>
        <w:numPr>
          <w:ilvl w:val="0"/>
          <w:numId w:val="2"/>
        </w:numPr>
        <w:spacing w:after="80"/>
      </w:pPr>
      <w:r>
        <w:rPr>
          <w:sz w:val="22"/>
          <w:szCs w:val="22"/>
        </w:rPr>
        <w:t xml:space="preserve">Future festival dates are not yet auto-populated in the forecast horizon — the Festival calendar can be extended so upcoming festivals are known in advance rather than only observed historically</w:t>
      </w:r>
    </w:p>
    <w:p>
      <w:pPr>
        <w:pStyle w:val="ListParagraph"/>
        <w:numPr>
          <w:ilvl w:val="0"/>
          <w:numId w:val="2"/>
        </w:numPr>
        <w:spacing w:after="80"/>
      </w:pPr>
      <w:r>
        <w:rPr>
          <w:sz w:val="22"/>
          <w:szCs w:val="22"/>
        </w:rPr>
        <w:t xml:space="preserve">Supplier price-trend detection depends on real price variation in procurement history; the current dataset shows flat historical prices, so this module will show its full value once live pricing data flows in</w:t>
      </w:r>
    </w:p>
    <w:p>
      <w:pPr>
        <w:pStyle w:val="ListParagraph"/>
        <w:numPr>
          <w:ilvl w:val="0"/>
          <w:numId w:val="2"/>
        </w:numPr>
        <w:spacing w:after="80"/>
      </w:pPr>
      <w:r>
        <w:rPr>
          <w:sz w:val="22"/>
          <w:szCs w:val="22"/>
        </w:rPr>
        <w:t xml:space="preserve">Stock-transfer matching is currently city-scoped; this can be extended to a cost-aware model that weighs transfer distance/logistics cost against fresh procurement cost</w:t>
      </w:r>
    </w:p>
    <w:p>
      <w:pPr>
        <w:pStyle w:val="ListParagraph"/>
        <w:numPr>
          <w:ilvl w:val="0"/>
          <w:numId w:val="2"/>
        </w:numPr>
        <w:spacing w:after="80"/>
      </w:pPr>
      <w:r>
        <w:rPr>
          <w:sz w:val="22"/>
          <w:szCs w:val="22"/>
        </w:rPr>
        <w:t xml:space="preserve">Next engineering step: wrap each module as a FastAPI endpoint (/forecast, /reorder-recommendations, /supplier-recommendations, /profit-recommendations) and connect the React dashboard for daily automated runs</w:t>
      </w:r>
    </w:p>
    <w:p>
      <w:pPr>
        <w:pStyle w:val="Heading1"/>
        <w:spacing w:after="160" w:before="360"/>
      </w:pPr>
      <w:r>
        <w:t xml:space="preserve">10. Conclusion</w:t>
      </w:r>
    </w:p>
    <w:p>
      <w:pPr>
        <w:spacing w:after="160" w:line="276"/>
      </w:pPr>
      <w:r>
        <w:rPr>
          <w:sz w:val="22"/>
          <w:szCs w:val="22"/>
        </w:rPr>
        <w:t xml:space="preserve">RetailBrain AI's core intelligence layer — demand forecasting, inventory optimization, supplier ranking, and profit-ranked procurement recommendations — has been fully implemented and validated end-to-end on the complete two-year, 2.48-million-row transactional dataset, using corrected, professionally validated inventory data across all 100 stores. The forecasting model achieves ~90% accuracy overall, and the downstream engines translate that forecast into concrete, rupee-quantified actions: 1,395 reorder recommendations worth ₹25.7 lakh in expected profit, plus 303 inter-store stock transfer opportunities that reduce fresh procurement spend, for the next two weeks alone. The system is delivered as a modular, reusable Python codebase ready to be wrapped in the planned FastAPI + React dashboard for production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2026-07-18T16:50:23.631Z</dcterms:created>
  <dcterms:modified xsi:type="dcterms:W3CDTF">2026-07-18T16:50:23.642Z</dcterms:modified>
</cp:coreProperties>
</file>

<file path=docProps/custom.xml><?xml version="1.0" encoding="utf-8"?>
<Properties xmlns="http://schemas.openxmlformats.org/officeDocument/2006/custom-properties" xmlns:vt="http://schemas.openxmlformats.org/officeDocument/2006/docPropsVTypes"/>
</file>