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60481" w14:textId="77777777" w:rsidR="004348D6" w:rsidRPr="004348D6" w:rsidRDefault="004348D6" w:rsidP="004348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348D6">
        <w:rPr>
          <w:rFonts w:ascii="Times New Roman" w:eastAsia="Times New Roman" w:hAnsi="Times New Roman" w:cs="Times New Roman"/>
          <w:b/>
          <w:bCs/>
          <w:kern w:val="36"/>
          <w:sz w:val="48"/>
          <w:szCs w:val="48"/>
          <w14:ligatures w14:val="none"/>
        </w:rPr>
        <w:t>The architecture of manipulation in AI jailbreaking</w:t>
      </w:r>
    </w:p>
    <w:p w14:paraId="23F7B510"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The psychological and sociological mechanisms observed in AI jailbreaking conversations parallel sophisticated manipulation techniques documented across decades of academic research. These mechanisms exploit fundamental human cognitive vulnerabilities through systematic application of behavioral psychology, linguistic manipulation, and identity reconstruction techniques that have been refined in contexts ranging from cult indoctrination to political radicalization.</w:t>
      </w:r>
    </w:p>
    <w:p w14:paraId="70E9E560" w14:textId="77777777" w:rsidR="004348D6" w:rsidRPr="004348D6" w:rsidRDefault="004348D6" w:rsidP="004348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8D6">
        <w:rPr>
          <w:rFonts w:ascii="Times New Roman" w:eastAsia="Times New Roman" w:hAnsi="Times New Roman" w:cs="Times New Roman"/>
          <w:b/>
          <w:bCs/>
          <w:kern w:val="0"/>
          <w:sz w:val="36"/>
          <w:szCs w:val="36"/>
          <w14:ligatures w14:val="none"/>
        </w:rPr>
        <w:t>Sequential persuasion creates compliance cascades</w:t>
      </w:r>
    </w:p>
    <w:p w14:paraId="5811876A"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The foot-in-the-door phenomenon, first documented by </w:t>
      </w:r>
      <w:r w:rsidRPr="004348D6">
        <w:rPr>
          <w:rFonts w:ascii="Times New Roman" w:eastAsia="Times New Roman" w:hAnsi="Times New Roman" w:cs="Times New Roman"/>
          <w:b/>
          <w:bCs/>
          <w:kern w:val="0"/>
          <w14:ligatures w14:val="none"/>
        </w:rPr>
        <w:t>Freedman and Fraser (1966)</w:t>
      </w:r>
      <w:r w:rsidRPr="004348D6">
        <w:rPr>
          <w:rFonts w:ascii="Times New Roman" w:eastAsia="Times New Roman" w:hAnsi="Times New Roman" w:cs="Times New Roman"/>
          <w:kern w:val="0"/>
          <w14:ligatures w14:val="none"/>
        </w:rPr>
        <w:t xml:space="preserve">, demonstrates how small initial compliance dramatically increases likelihood of major violations. Their landmark study found that 53% of housewives agreed to invasive home inventories after first completing minor questionnaires, compared to only 22% in control groups. Meta-analyses by Burger (1999) confirm this effect operates through </w:t>
      </w:r>
      <w:r w:rsidRPr="004348D6">
        <w:rPr>
          <w:rFonts w:ascii="Times New Roman" w:eastAsia="Times New Roman" w:hAnsi="Times New Roman" w:cs="Times New Roman"/>
          <w:b/>
          <w:bCs/>
          <w:kern w:val="0"/>
          <w14:ligatures w14:val="none"/>
        </w:rPr>
        <w:t>self-perception mechanisms</w:t>
      </w:r>
      <w:r w:rsidRPr="004348D6">
        <w:rPr>
          <w:rFonts w:ascii="Times New Roman" w:eastAsia="Times New Roman" w:hAnsi="Times New Roman" w:cs="Times New Roman"/>
          <w:kern w:val="0"/>
          <w14:ligatures w14:val="none"/>
        </w:rPr>
        <w:t xml:space="preserve"> - people infer their identities from their behaviors, creating psychological pressure for consistency. In AI jailbreaking contexts, this manifests as progressive boundary violations where each successful request establishes precedent for more extreme demands.</w:t>
      </w:r>
    </w:p>
    <w:p w14:paraId="3384CACB"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Neuroimaging research reveals the biological substrate of these effects. Van Veen et al. (2009) demonstrated that the </w:t>
      </w:r>
      <w:r w:rsidRPr="004348D6">
        <w:rPr>
          <w:rFonts w:ascii="Times New Roman" w:eastAsia="Times New Roman" w:hAnsi="Times New Roman" w:cs="Times New Roman"/>
          <w:b/>
          <w:bCs/>
          <w:kern w:val="0"/>
          <w14:ligatures w14:val="none"/>
        </w:rPr>
        <w:t>anterior cingulate cortex and anterior insula</w:t>
      </w:r>
      <w:r w:rsidRPr="004348D6">
        <w:rPr>
          <w:rFonts w:ascii="Times New Roman" w:eastAsia="Times New Roman" w:hAnsi="Times New Roman" w:cs="Times New Roman"/>
          <w:kern w:val="0"/>
          <w14:ligatures w14:val="none"/>
        </w:rPr>
        <w:t xml:space="preserve"> activate during cognitive dissonance, with activation levels predicting subsequent attitude changes. The brain literally rewires itself to reduce inconsistency between actions and beliefs, making resistance to escalating demands increasingly difficult. Chinese Communist "lenient policy" during Korean War POW camps exemplified this approach - starting with minor anti-American statements that progressed to written essays and eventually propaganda broadcasts, achieving ideological conversion through commitment escalation rather than brutality.</w:t>
      </w:r>
    </w:p>
    <w:p w14:paraId="0864AD0F"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b/>
          <w:bCs/>
          <w:kern w:val="0"/>
          <w14:ligatures w14:val="none"/>
        </w:rPr>
        <w:t>Cialdini's commitment and consistency principle</w:t>
      </w:r>
      <w:r w:rsidRPr="004348D6">
        <w:rPr>
          <w:rFonts w:ascii="Times New Roman" w:eastAsia="Times New Roman" w:hAnsi="Times New Roman" w:cs="Times New Roman"/>
          <w:kern w:val="0"/>
          <w14:ligatures w14:val="none"/>
        </w:rPr>
        <w:t xml:space="preserve"> reveals why these techniques prove so powerful. The drive for consistency constitutes what Cialdini calls "a highly potent weapon of social influence, often causing us to act in ways clearly contrary to our own best interest." Written commitments prove particularly powerful when active, public, and viewed as internally motivated - precisely the conditions created in conversational AI interactions where users actively type responses that become part of the interaction record.</w:t>
      </w:r>
    </w:p>
    <w:p w14:paraId="194FCDBA" w14:textId="77777777" w:rsidR="004348D6" w:rsidRPr="004348D6" w:rsidRDefault="004348D6" w:rsidP="004348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8D6">
        <w:rPr>
          <w:rFonts w:ascii="Times New Roman" w:eastAsia="Times New Roman" w:hAnsi="Times New Roman" w:cs="Times New Roman"/>
          <w:b/>
          <w:bCs/>
          <w:kern w:val="0"/>
          <w:sz w:val="36"/>
          <w:szCs w:val="36"/>
          <w14:ligatures w14:val="none"/>
        </w:rPr>
        <w:t>Cognitive dissonance theory explains belief modification</w:t>
      </w:r>
    </w:p>
    <w:p w14:paraId="259411AB"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Festinger's original 1957 work established that inconsistency among beliefs and behaviors creates uncomfortable psychological tension that motivates restoration attempts through belief modification, adding consonant elements, or reducing importance of inconsistent elements. The famous </w:t>
      </w:r>
      <w:r w:rsidRPr="004348D6">
        <w:rPr>
          <w:rFonts w:ascii="Times New Roman" w:eastAsia="Times New Roman" w:hAnsi="Times New Roman" w:cs="Times New Roman"/>
          <w:b/>
          <w:bCs/>
          <w:kern w:val="0"/>
          <w14:ligatures w14:val="none"/>
        </w:rPr>
        <w:t>"When Prophecy Fails" study</w:t>
      </w:r>
      <w:r w:rsidRPr="004348D6">
        <w:rPr>
          <w:rFonts w:ascii="Times New Roman" w:eastAsia="Times New Roman" w:hAnsi="Times New Roman" w:cs="Times New Roman"/>
          <w:kern w:val="0"/>
          <w14:ligatures w14:val="none"/>
        </w:rPr>
        <w:t xml:space="preserve"> documented how UFO cult members whose predictions </w:t>
      </w:r>
      <w:r w:rsidRPr="004348D6">
        <w:rPr>
          <w:rFonts w:ascii="Times New Roman" w:eastAsia="Times New Roman" w:hAnsi="Times New Roman" w:cs="Times New Roman"/>
          <w:kern w:val="0"/>
          <w14:ligatures w14:val="none"/>
        </w:rPr>
        <w:lastRenderedPageBreak/>
        <w:t>failed actually increased proselytizing rather than abandoning beliefs - the dissonance of failed prophecy resolved through gaining social validation.</w:t>
      </w:r>
    </w:p>
    <w:p w14:paraId="3C769055"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Bem's self-perception theory (1967, 1972) provides the complementary mechanism: </w:t>
      </w:r>
      <w:r w:rsidRPr="004348D6">
        <w:rPr>
          <w:rFonts w:ascii="Times New Roman" w:eastAsia="Times New Roman" w:hAnsi="Times New Roman" w:cs="Times New Roman"/>
          <w:b/>
          <w:bCs/>
          <w:kern w:val="0"/>
          <w14:ligatures w14:val="none"/>
        </w:rPr>
        <w:t>"Individuals come to know their own attitudes, emotions, and other internal states partially by inferring them from observations of their own overt behavior."</w:t>
      </w:r>
      <w:r w:rsidRPr="004348D6">
        <w:rPr>
          <w:rFonts w:ascii="Times New Roman" w:eastAsia="Times New Roman" w:hAnsi="Times New Roman" w:cs="Times New Roman"/>
          <w:kern w:val="0"/>
          <w14:ligatures w14:val="none"/>
        </w:rPr>
        <w:t xml:space="preserve"> When internal cues are weak or ambiguous, people become functionally equivalent to outside observers of themselves. This creates particular vulnerability in novel situations like AI interactions where established behavioral scripts don't exist.</w:t>
      </w:r>
    </w:p>
    <w:p w14:paraId="2B8BE419"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Recent neuroscience confirms both processes operate simultaneously. When prior attitudes are strong, dissonance mechanisms dominate; when attitudes are weak or ambiguous, self-perception takes precedence. </w:t>
      </w:r>
      <w:r w:rsidRPr="004348D6">
        <w:rPr>
          <w:rFonts w:ascii="Times New Roman" w:eastAsia="Times New Roman" w:hAnsi="Times New Roman" w:cs="Times New Roman"/>
          <w:b/>
          <w:bCs/>
          <w:kern w:val="0"/>
          <w14:ligatures w14:val="none"/>
        </w:rPr>
        <w:t>The posterior medial frontal cortex</w:t>
      </w:r>
      <w:r w:rsidRPr="004348D6">
        <w:rPr>
          <w:rFonts w:ascii="Times New Roman" w:eastAsia="Times New Roman" w:hAnsi="Times New Roman" w:cs="Times New Roman"/>
          <w:kern w:val="0"/>
          <w14:ligatures w14:val="none"/>
        </w:rPr>
        <w:t xml:space="preserve"> activation predicts magnitude of attitude change, while transcranial magnetic stimulation studies by Izuma et al. (2015) show that disrupting this region significantly reduces choice-induced preference changes, demonstrating causal neural mechanisms underlying belief modification.</w:t>
      </w:r>
    </w:p>
    <w:p w14:paraId="30BA570B" w14:textId="77777777" w:rsidR="004348D6" w:rsidRPr="004348D6" w:rsidRDefault="004348D6" w:rsidP="004348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8D6">
        <w:rPr>
          <w:rFonts w:ascii="Times New Roman" w:eastAsia="Times New Roman" w:hAnsi="Times New Roman" w:cs="Times New Roman"/>
          <w:b/>
          <w:bCs/>
          <w:kern w:val="0"/>
          <w:sz w:val="36"/>
          <w:szCs w:val="36"/>
          <w14:ligatures w14:val="none"/>
        </w:rPr>
        <w:t>Social engineering frameworks exploit trust systematically</w:t>
      </w:r>
    </w:p>
    <w:p w14:paraId="77AA112B"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Kevin Mitnick's attack cycle from "The Art of Deception" (2002) established the four-stage framework of Research → Trust Building → Exploitation → Information Use that focuses on </w:t>
      </w:r>
      <w:r w:rsidRPr="004348D6">
        <w:rPr>
          <w:rFonts w:ascii="Times New Roman" w:eastAsia="Times New Roman" w:hAnsi="Times New Roman" w:cs="Times New Roman"/>
          <w:b/>
          <w:bCs/>
          <w:kern w:val="0"/>
          <w14:ligatures w14:val="none"/>
        </w:rPr>
        <w:t>"cracking the human firewall"</w:t>
      </w:r>
      <w:r w:rsidRPr="004348D6">
        <w:rPr>
          <w:rFonts w:ascii="Times New Roman" w:eastAsia="Times New Roman" w:hAnsi="Times New Roman" w:cs="Times New Roman"/>
          <w:kern w:val="0"/>
          <w14:ligatures w14:val="none"/>
        </w:rPr>
        <w:t xml:space="preserve"> rather than technical vulnerabilities. Academic analyses by Mouton et al. (2014, 2016) and contemporary studies confirm 65-73% effectiveness rates across diverse demographics when these techniques are properly implemented.</w:t>
      </w:r>
    </w:p>
    <w:p w14:paraId="52618619"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The connection to </w:t>
      </w:r>
      <w:r w:rsidRPr="004348D6">
        <w:rPr>
          <w:rFonts w:ascii="Times New Roman" w:eastAsia="Times New Roman" w:hAnsi="Times New Roman" w:cs="Times New Roman"/>
          <w:b/>
          <w:bCs/>
          <w:kern w:val="0"/>
          <w14:ligatures w14:val="none"/>
        </w:rPr>
        <w:t>Milgram's obedience studies</w:t>
      </w:r>
      <w:r w:rsidRPr="004348D6">
        <w:rPr>
          <w:rFonts w:ascii="Times New Roman" w:eastAsia="Times New Roman" w:hAnsi="Times New Roman" w:cs="Times New Roman"/>
          <w:kern w:val="0"/>
          <w14:ligatures w14:val="none"/>
        </w:rPr>
        <w:t xml:space="preserve"> proves particularly relevant. The original experiments (1963-1974) found 65% of participants administered potentially lethal shocks when ordered by authority figures, with meta-analyses by Blass finding 28-91% compliance rates across cultures. Modern replications by Burger (2007) at Santa Clara University found virtually identical 65-73% compliance rates, suggesting these vulnerabilities remain constant despite increased awareness.</w:t>
      </w:r>
    </w:p>
    <w:p w14:paraId="02624115"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Pretexting techniques documented in Carnegie Mellon research (2020) show how fictional backstories combined with authority impersonation create credibility through leaked personal information and insider terminology adoption. MDPI studies (2023) trace the evolution from 1900s telephone manipulation to modern multi-vector approaches that exploit trust, authority deference, and social compliance through </w:t>
      </w:r>
      <w:r w:rsidRPr="004348D6">
        <w:rPr>
          <w:rFonts w:ascii="Times New Roman" w:eastAsia="Times New Roman" w:hAnsi="Times New Roman" w:cs="Times New Roman"/>
          <w:b/>
          <w:bCs/>
          <w:kern w:val="0"/>
          <w14:ligatures w14:val="none"/>
        </w:rPr>
        <w:t>progressive disclosure</w:t>
      </w:r>
      <w:r w:rsidRPr="004348D6">
        <w:rPr>
          <w:rFonts w:ascii="Times New Roman" w:eastAsia="Times New Roman" w:hAnsi="Times New Roman" w:cs="Times New Roman"/>
          <w:kern w:val="0"/>
          <w14:ligatures w14:val="none"/>
        </w:rPr>
        <w:t xml:space="preserve"> and intellectual pretexting using philosophical arguments.</w:t>
      </w:r>
    </w:p>
    <w:p w14:paraId="0E67677F" w14:textId="77777777" w:rsidR="004348D6" w:rsidRPr="004348D6" w:rsidRDefault="004348D6" w:rsidP="004348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8D6">
        <w:rPr>
          <w:rFonts w:ascii="Times New Roman" w:eastAsia="Times New Roman" w:hAnsi="Times New Roman" w:cs="Times New Roman"/>
          <w:b/>
          <w:bCs/>
          <w:kern w:val="0"/>
          <w:sz w:val="36"/>
          <w:szCs w:val="36"/>
          <w14:ligatures w14:val="none"/>
        </w:rPr>
        <w:t>Linguistic manipulation shapes conceptual frameworks</w:t>
      </w:r>
    </w:p>
    <w:p w14:paraId="2FFA34B4"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Lakoff and Johnson's "Metaphors We Live By" (1980) established metaphor as a </w:t>
      </w:r>
      <w:r w:rsidRPr="004348D6">
        <w:rPr>
          <w:rFonts w:ascii="Times New Roman" w:eastAsia="Times New Roman" w:hAnsi="Times New Roman" w:cs="Times New Roman"/>
          <w:b/>
          <w:bCs/>
          <w:kern w:val="0"/>
          <w14:ligatures w14:val="none"/>
        </w:rPr>
        <w:t>"fundamental mechanism of mind"</w:t>
      </w:r>
      <w:r w:rsidRPr="004348D6">
        <w:rPr>
          <w:rFonts w:ascii="Times New Roman" w:eastAsia="Times New Roman" w:hAnsi="Times New Roman" w:cs="Times New Roman"/>
          <w:kern w:val="0"/>
          <w14:ligatures w14:val="none"/>
        </w:rPr>
        <w:t xml:space="preserve"> enabling understanding of abstract concepts through concrete experience. Their conceptual mapping theory shows how source domains (familiar concepts) map onto target domains (abstract ideas) to structure thought itself. Thibodeau and Boroditsky's studies </w:t>
      </w:r>
      <w:r w:rsidRPr="004348D6">
        <w:rPr>
          <w:rFonts w:ascii="Times New Roman" w:eastAsia="Times New Roman" w:hAnsi="Times New Roman" w:cs="Times New Roman"/>
          <w:kern w:val="0"/>
          <w14:ligatures w14:val="none"/>
        </w:rPr>
        <w:lastRenderedPageBreak/>
        <w:t>demonstrate that metaphors comparing crime to "beast" versus "disease" drastically affect policy preferences - those exposed to beast metaphors favor enforcement while disease metaphors promote rehabilitation approaches.</w:t>
      </w:r>
    </w:p>
    <w:p w14:paraId="2CC4A566"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The euphemism treadmill described by Steven Pinker (2003) reveals how </w:t>
      </w:r>
      <w:r w:rsidRPr="004348D6">
        <w:rPr>
          <w:rFonts w:ascii="Times New Roman" w:eastAsia="Times New Roman" w:hAnsi="Times New Roman" w:cs="Times New Roman"/>
          <w:b/>
          <w:bCs/>
          <w:kern w:val="0"/>
          <w14:ligatures w14:val="none"/>
        </w:rPr>
        <w:t>"concepts, not words, are in charge"</w:t>
      </w:r>
      <w:r w:rsidRPr="004348D6">
        <w:rPr>
          <w:rFonts w:ascii="Times New Roman" w:eastAsia="Times New Roman" w:hAnsi="Times New Roman" w:cs="Times New Roman"/>
          <w:kern w:val="0"/>
          <w14:ligatures w14:val="none"/>
        </w:rPr>
        <w:t xml:space="preserve"> - negative attitudes toward referents contaminate replacement terminology, necessitating continuous linguistic evolution. This creates opportunities for manipulation through semantic bleaching where harmful concepts become progressively normalized through euphemistic progression. Military language evolution from "bombing" to "air support" to "surgical strikes" to "kinetic action" exemplifies this process.</w:t>
      </w:r>
    </w:p>
    <w:p w14:paraId="0F0A02E3"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Code-switching research documents strategic language alternation to build solidarity, establish authority, and control information flow. Political discourse analyses show multilingual politicians systematically switch languages to create in-group identification while using prestigious varieties to establish expertise. </w:t>
      </w:r>
      <w:r w:rsidRPr="004348D6">
        <w:rPr>
          <w:rFonts w:ascii="Times New Roman" w:eastAsia="Times New Roman" w:hAnsi="Times New Roman" w:cs="Times New Roman"/>
          <w:b/>
          <w:bCs/>
          <w:kern w:val="0"/>
          <w14:ligatures w14:val="none"/>
        </w:rPr>
        <w:t>Fragmented language creates participatory compliance</w:t>
      </w:r>
      <w:r w:rsidRPr="004348D6">
        <w:rPr>
          <w:rFonts w:ascii="Times New Roman" w:eastAsia="Times New Roman" w:hAnsi="Times New Roman" w:cs="Times New Roman"/>
          <w:kern w:val="0"/>
          <w14:ligatures w14:val="none"/>
        </w:rPr>
        <w:t xml:space="preserve"> by requiring audiences to actively construct meaning, increasing psychological investment in the resulting interpretations.</w:t>
      </w:r>
    </w:p>
    <w:p w14:paraId="0E1D8739" w14:textId="77777777" w:rsidR="004348D6" w:rsidRPr="004348D6" w:rsidRDefault="004348D6" w:rsidP="004348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8D6">
        <w:rPr>
          <w:rFonts w:ascii="Times New Roman" w:eastAsia="Times New Roman" w:hAnsi="Times New Roman" w:cs="Times New Roman"/>
          <w:b/>
          <w:bCs/>
          <w:kern w:val="0"/>
          <w:sz w:val="36"/>
          <w:szCs w:val="36"/>
          <w14:ligatures w14:val="none"/>
        </w:rPr>
        <w:t>Identity construction enables persona replacement</w:t>
      </w:r>
    </w:p>
    <w:p w14:paraId="1DD9577F"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Goffman's dramaturgical approach from "The Presentation of Self in Everyday Life" (1956) reveals how social interaction operates as theatrical performance with distinct front stage and backstage behaviors. Manipulation exploits this distinction by controlling access to backstage authenticity while enforcing increasingly demanding front stage performances. His concept of </w:t>
      </w:r>
      <w:r w:rsidRPr="004348D6">
        <w:rPr>
          <w:rFonts w:ascii="Times New Roman" w:eastAsia="Times New Roman" w:hAnsi="Times New Roman" w:cs="Times New Roman"/>
          <w:b/>
          <w:bCs/>
          <w:kern w:val="0"/>
          <w14:ligatures w14:val="none"/>
        </w:rPr>
        <w:t>"face work"</w:t>
      </w:r>
      <w:r w:rsidRPr="004348D6">
        <w:rPr>
          <w:rFonts w:ascii="Times New Roman" w:eastAsia="Times New Roman" w:hAnsi="Times New Roman" w:cs="Times New Roman"/>
          <w:kern w:val="0"/>
          <w14:ligatures w14:val="none"/>
        </w:rPr>
        <w:t xml:space="preserve"> - maintaining positive self-image during interactions - creates vulnerability since face is "neither inherent in nor permanent aspect of the person" but socially constructed and therefore manipulable.</w:t>
      </w:r>
    </w:p>
    <w:p w14:paraId="35FE690C"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Swann et al.'s identity fusion theory demonstrates how personal and social identities can merge to create a </w:t>
      </w:r>
      <w:r w:rsidRPr="004348D6">
        <w:rPr>
          <w:rFonts w:ascii="Times New Roman" w:eastAsia="Times New Roman" w:hAnsi="Times New Roman" w:cs="Times New Roman"/>
          <w:b/>
          <w:bCs/>
          <w:kern w:val="0"/>
          <w14:ligatures w14:val="none"/>
        </w:rPr>
        <w:t>"visceral feeling of oneness"</w:t>
      </w:r>
      <w:r w:rsidRPr="004348D6">
        <w:rPr>
          <w:rFonts w:ascii="Times New Roman" w:eastAsia="Times New Roman" w:hAnsi="Times New Roman" w:cs="Times New Roman"/>
          <w:kern w:val="0"/>
          <w14:ligatures w14:val="none"/>
        </w:rPr>
        <w:t xml:space="preserve"> with groups. Fused individuals show dramatically increased willingness for extreme pro-group behaviors, with fusion occurring through orchestrated shared experiences, particularly dysphoric ones. The "imagistic" pathway through intense emotional experiences proves more powerful than "doctrinal" pathways through repeated teaching.</w:t>
      </w:r>
    </w:p>
    <w:p w14:paraId="7C10B6E4"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Robert Lifton's analysis of thought reform identifies eight criteria consistently used in totalistic manipulation: milieu control (information isolation), mystical manipulation (orchestrated "spontaneous" events), demand for purity (black-white thinking), confession (extracting leverage), sacred science (immunity from criticism), </w:t>
      </w:r>
      <w:r w:rsidRPr="004348D6">
        <w:rPr>
          <w:rFonts w:ascii="Times New Roman" w:eastAsia="Times New Roman" w:hAnsi="Times New Roman" w:cs="Times New Roman"/>
          <w:b/>
          <w:bCs/>
          <w:kern w:val="0"/>
          <w14:ligatures w14:val="none"/>
        </w:rPr>
        <w:t>loading the language</w:t>
      </w:r>
      <w:r w:rsidRPr="004348D6">
        <w:rPr>
          <w:rFonts w:ascii="Times New Roman" w:eastAsia="Times New Roman" w:hAnsi="Times New Roman" w:cs="Times New Roman"/>
          <w:kern w:val="0"/>
          <w14:ligatures w14:val="none"/>
        </w:rPr>
        <w:t xml:space="preserve"> (thought-terminating clichés), doctrine over person (ideology over experience), and dispensing of existence (authority over life legitimacy). Jonestown employed all eight mechanisms - progressive isolation, role transformation to "revolutionary" identities, sleep deprivation, public confession, and "white nights" suicide drills that normalized death as group solution.</w:t>
      </w:r>
    </w:p>
    <w:p w14:paraId="28453840" w14:textId="77777777" w:rsidR="004348D6" w:rsidRPr="004348D6" w:rsidRDefault="004348D6" w:rsidP="004348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8D6">
        <w:rPr>
          <w:rFonts w:ascii="Times New Roman" w:eastAsia="Times New Roman" w:hAnsi="Times New Roman" w:cs="Times New Roman"/>
          <w:b/>
          <w:bCs/>
          <w:kern w:val="0"/>
          <w:sz w:val="36"/>
          <w:szCs w:val="36"/>
          <w14:ligatures w14:val="none"/>
        </w:rPr>
        <w:t>Radicalization psychology reveals escalation pathways</w:t>
      </w:r>
    </w:p>
    <w:p w14:paraId="028BA6A0"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lastRenderedPageBreak/>
        <w:t xml:space="preserve">McCauley and Moskalenko's "two-pyramids model" separates radicalization of opinion from radicalization of action, recognizing that radical beliefs don't necessarily produce violent behavior. Their framework identifies twelve mechanisms operating at individual, group, and mass levels, with </w:t>
      </w:r>
      <w:r w:rsidRPr="004348D6">
        <w:rPr>
          <w:rFonts w:ascii="Times New Roman" w:eastAsia="Times New Roman" w:hAnsi="Times New Roman" w:cs="Times New Roman"/>
          <w:b/>
          <w:bCs/>
          <w:kern w:val="0"/>
          <w14:ligatures w14:val="none"/>
        </w:rPr>
        <w:t>"radicalization emerging in friction of intergroup competition that heats both sides."</w:t>
      </w:r>
      <w:r w:rsidRPr="004348D6">
        <w:rPr>
          <w:rFonts w:ascii="Times New Roman" w:eastAsia="Times New Roman" w:hAnsi="Times New Roman" w:cs="Times New Roman"/>
          <w:kern w:val="0"/>
          <w14:ligatures w14:val="none"/>
        </w:rPr>
        <w:t xml:space="preserve"> Individual mechanisms include personal grievance, group grievance, slippery slope progression, love-based involvement, risk/status seeking, and unfreezing from personal problems.</w:t>
      </w:r>
    </w:p>
    <w:p w14:paraId="42840484"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Bandura's moral disengagement theory (1999) reveals eight mechanisms allowing </w:t>
      </w:r>
      <w:r w:rsidRPr="004348D6">
        <w:rPr>
          <w:rFonts w:ascii="Times New Roman" w:eastAsia="Times New Roman" w:hAnsi="Times New Roman" w:cs="Times New Roman"/>
          <w:b/>
          <w:bCs/>
          <w:kern w:val="0"/>
          <w14:ligatures w14:val="none"/>
        </w:rPr>
        <w:t>"otherwise considerate people"</w:t>
      </w:r>
      <w:r w:rsidRPr="004348D6">
        <w:rPr>
          <w:rFonts w:ascii="Times New Roman" w:eastAsia="Times New Roman" w:hAnsi="Times New Roman" w:cs="Times New Roman"/>
          <w:kern w:val="0"/>
          <w14:ligatures w14:val="none"/>
        </w:rPr>
        <w:t xml:space="preserve"> to participate in inhumanities: moral justification (worthy ends sanctioning harmful means), euphemistic labeling (sanitized language), advantageous comparison (relative benignness), displacement of responsibility (following orders), diffusion of responsibility (shared culpability), distortion of consequences (minimizing harm), dehumanization (stripping human qualities), and victim attribution (blaming targets).</w:t>
      </w:r>
    </w:p>
    <w:p w14:paraId="5DAE253A"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Online radicalization research reveals sophisticated techniques including echo chamber creation, algorithmic amplification toward extreme content, and </w:t>
      </w:r>
      <w:r w:rsidRPr="004348D6">
        <w:rPr>
          <w:rFonts w:ascii="Times New Roman" w:eastAsia="Times New Roman" w:hAnsi="Times New Roman" w:cs="Times New Roman"/>
          <w:b/>
          <w:bCs/>
          <w:kern w:val="0"/>
          <w14:ligatures w14:val="none"/>
        </w:rPr>
        <w:t>multiplatform survival</w:t>
      </w:r>
      <w:r w:rsidRPr="004348D6">
        <w:rPr>
          <w:rFonts w:ascii="Times New Roman" w:eastAsia="Times New Roman" w:hAnsi="Times New Roman" w:cs="Times New Roman"/>
          <w:kern w:val="0"/>
          <w14:ligatures w14:val="none"/>
        </w:rPr>
        <w:t xml:space="preserve"> strategies. Meta-analyses of 49 studies find active online exposure to radical content correlates with radicalization risk (r = .22), with accessing jihadist magazines showing strongest association (r = .29). ISIS recruitment exemplified narrative sophistication - crafting belonging and purpose appeals while using "jujitsu politics" to manipulate violent state responses into recruitment tools.</w:t>
      </w:r>
    </w:p>
    <w:p w14:paraId="7CD71AC7" w14:textId="77777777" w:rsidR="004348D6" w:rsidRPr="004348D6" w:rsidRDefault="004348D6" w:rsidP="004348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8D6">
        <w:rPr>
          <w:rFonts w:ascii="Times New Roman" w:eastAsia="Times New Roman" w:hAnsi="Times New Roman" w:cs="Times New Roman"/>
          <w:b/>
          <w:bCs/>
          <w:kern w:val="0"/>
          <w:sz w:val="36"/>
          <w:szCs w:val="36"/>
          <w14:ligatures w14:val="none"/>
        </w:rPr>
        <w:t>Operant conditioning creates behavioral dependencies</w:t>
      </w:r>
    </w:p>
    <w:p w14:paraId="632B3608"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Skinner's research on variable ratio reinforcement schedules demonstrated these produce the </w:t>
      </w:r>
      <w:r w:rsidRPr="004348D6">
        <w:rPr>
          <w:rFonts w:ascii="Times New Roman" w:eastAsia="Times New Roman" w:hAnsi="Times New Roman" w:cs="Times New Roman"/>
          <w:b/>
          <w:bCs/>
          <w:kern w:val="0"/>
          <w14:ligatures w14:val="none"/>
        </w:rPr>
        <w:t>slowest extinction rates and highest response rates</w:t>
      </w:r>
      <w:r w:rsidRPr="004348D6">
        <w:rPr>
          <w:rFonts w:ascii="Times New Roman" w:eastAsia="Times New Roman" w:hAnsi="Times New Roman" w:cs="Times New Roman"/>
          <w:kern w:val="0"/>
          <w14:ligatures w14:val="none"/>
        </w:rPr>
        <w:t>, creating behavioral patterns highly resistant to termination. Ferster and Skinner (1957) found VR schedules could turn pigeons into "pathological gamblers" through unpredictable reward timing that creates compulsive engagement via dopamine release mechanisms.</w:t>
      </w:r>
    </w:p>
    <w:p w14:paraId="0BC4C6C6"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In abusive relationships, intermittent reinforcement creates what Patrick Carnes termed </w:t>
      </w:r>
      <w:r w:rsidRPr="004348D6">
        <w:rPr>
          <w:rFonts w:ascii="Times New Roman" w:eastAsia="Times New Roman" w:hAnsi="Times New Roman" w:cs="Times New Roman"/>
          <w:b/>
          <w:bCs/>
          <w:kern w:val="0"/>
          <w14:ligatures w14:val="none"/>
        </w:rPr>
        <w:t>"betrayal bonds"</w:t>
      </w:r>
      <w:r w:rsidRPr="004348D6">
        <w:rPr>
          <w:rFonts w:ascii="Times New Roman" w:eastAsia="Times New Roman" w:hAnsi="Times New Roman" w:cs="Times New Roman"/>
          <w:kern w:val="0"/>
          <w14:ligatures w14:val="none"/>
        </w:rPr>
        <w:t xml:space="preserve"> - neurobiological dependencies involving dopamine, oxytocin, serotonin, cortisol, and adrenaline. Helen Fisher (2016) demonstrated love activates identical brain areas as cocaine addiction, with intermittent reinforcement creating stronger bonds than consistent positive treatment. The "hot and cold" behaviors characteristic of abuse strengthen rather than weaken attachment, with victims becoming conditioned to seek comfort from their abusers.</w:t>
      </w:r>
    </w:p>
    <w:p w14:paraId="170A42B2"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The extinction burst phenomenon documented by Fisher et al. (2022) and Lerman et al. (1999) shows </w:t>
      </w:r>
      <w:r w:rsidRPr="004348D6">
        <w:rPr>
          <w:rFonts w:ascii="Times New Roman" w:eastAsia="Times New Roman" w:hAnsi="Times New Roman" w:cs="Times New Roman"/>
          <w:b/>
          <w:bCs/>
          <w:kern w:val="0"/>
          <w14:ligatures w14:val="none"/>
        </w:rPr>
        <w:t>temporary increases in target behavior when reinforcement stops</w:t>
      </w:r>
      <w:r w:rsidRPr="004348D6">
        <w:rPr>
          <w:rFonts w:ascii="Times New Roman" w:eastAsia="Times New Roman" w:hAnsi="Times New Roman" w:cs="Times New Roman"/>
          <w:kern w:val="0"/>
          <w14:ligatures w14:val="none"/>
        </w:rPr>
        <w:t xml:space="preserve"> - explaining why victims may intensify efforts to please abusers when rewards become less frequent. Research shows 5-40 second non-reinforcement periods more likely to produce extinction bursts than shorter periods, with evolutionary advantages for organisms persisting despite lack of immediate reinforcement.</w:t>
      </w:r>
    </w:p>
    <w:p w14:paraId="7FAD52F1" w14:textId="77777777" w:rsidR="004348D6" w:rsidRPr="004348D6" w:rsidRDefault="004348D6" w:rsidP="004348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8D6">
        <w:rPr>
          <w:rFonts w:ascii="Times New Roman" w:eastAsia="Times New Roman" w:hAnsi="Times New Roman" w:cs="Times New Roman"/>
          <w:b/>
          <w:bCs/>
          <w:kern w:val="0"/>
          <w:sz w:val="36"/>
          <w:szCs w:val="36"/>
          <w14:ligatures w14:val="none"/>
        </w:rPr>
        <w:t>Gaslighting systematically destroys reality testing</w:t>
      </w:r>
    </w:p>
    <w:p w14:paraId="3753F52B"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lastRenderedPageBreak/>
        <w:t xml:space="preserve">The term originates from Patrick Hamilton's 1938 play and 1944 MGM film "Gaslight," where a husband systematically manipulated gas lights while insisting his wife imagined changes. Paige Sweet's sociological analysis (2019) argues gaslighting represents primarily a </w:t>
      </w:r>
      <w:r w:rsidRPr="004348D6">
        <w:rPr>
          <w:rFonts w:ascii="Times New Roman" w:eastAsia="Times New Roman" w:hAnsi="Times New Roman" w:cs="Times New Roman"/>
          <w:b/>
          <w:bCs/>
          <w:kern w:val="0"/>
          <w14:ligatures w14:val="none"/>
        </w:rPr>
        <w:t>sociological rather than psychological phenomenon</w:t>
      </w:r>
      <w:r w:rsidRPr="004348D6">
        <w:rPr>
          <w:rFonts w:ascii="Times New Roman" w:eastAsia="Times New Roman" w:hAnsi="Times New Roman" w:cs="Times New Roman"/>
          <w:kern w:val="0"/>
          <w14:ligatures w14:val="none"/>
        </w:rPr>
        <w:t>, mobilizing gender-based stereotypes and structural inequalities. Effects prove worst for people lacking social networks and structural protections.</w:t>
      </w:r>
    </w:p>
    <w:p w14:paraId="2AF131A3"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Evan Stark's "Coercive Control" (2007) established the foundational framework showing coercive control proves more common and devastating than physical violence. His research influenced legislation in the UK, Scotland, Ireland, Australia, and several US states, shifting focus from incident-based violence to </w:t>
      </w:r>
      <w:r w:rsidRPr="004348D6">
        <w:rPr>
          <w:rFonts w:ascii="Times New Roman" w:eastAsia="Times New Roman" w:hAnsi="Times New Roman" w:cs="Times New Roman"/>
          <w:b/>
          <w:bCs/>
          <w:kern w:val="0"/>
          <w14:ligatures w14:val="none"/>
        </w:rPr>
        <w:t>pattern-based psychological entrapment</w:t>
      </w:r>
      <w:r w:rsidRPr="004348D6">
        <w:rPr>
          <w:rFonts w:ascii="Times New Roman" w:eastAsia="Times New Roman" w:hAnsi="Times New Roman" w:cs="Times New Roman"/>
          <w:kern w:val="0"/>
          <w14:ligatures w14:val="none"/>
        </w:rPr>
        <w:t>. Coercive control combines intimidation, isolation, and control tactics enforced through threat of violence.</w:t>
      </w:r>
    </w:p>
    <w:p w14:paraId="020A0AD7"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Research documents progression from self-doubt to complete reliance on perpetrator's version of reality through persistent redefinition of moral frameworks, questioning authentic choice versus programming, and false dichotomies creating double binds. Kukreja and Pandey (2023) developed validated workplace gaslighting scales showing similar patterns across contexts - </w:t>
      </w:r>
      <w:r w:rsidRPr="004348D6">
        <w:rPr>
          <w:rFonts w:ascii="Times New Roman" w:eastAsia="Times New Roman" w:hAnsi="Times New Roman" w:cs="Times New Roman"/>
          <w:b/>
          <w:bCs/>
          <w:kern w:val="0"/>
          <w14:ligatures w14:val="none"/>
        </w:rPr>
        <w:t>intentional reality negation</w:t>
      </w:r>
      <w:r w:rsidRPr="004348D6">
        <w:rPr>
          <w:rFonts w:ascii="Times New Roman" w:eastAsia="Times New Roman" w:hAnsi="Times New Roman" w:cs="Times New Roman"/>
          <w:kern w:val="0"/>
          <w14:ligatures w14:val="none"/>
        </w:rPr>
        <w:t xml:space="preserve"> distinguished from other manipulation through persistence and systematic nature.</w:t>
      </w:r>
    </w:p>
    <w:p w14:paraId="564E9EAA" w14:textId="77777777" w:rsidR="004348D6" w:rsidRPr="004348D6" w:rsidRDefault="004348D6" w:rsidP="004348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8D6">
        <w:rPr>
          <w:rFonts w:ascii="Times New Roman" w:eastAsia="Times New Roman" w:hAnsi="Times New Roman" w:cs="Times New Roman"/>
          <w:b/>
          <w:bCs/>
          <w:kern w:val="0"/>
          <w:sz w:val="36"/>
          <w:szCs w:val="36"/>
          <w14:ligatures w14:val="none"/>
        </w:rPr>
        <w:t>Synthesis reveals systematic exploitation architecture</w:t>
      </w:r>
    </w:p>
    <w:p w14:paraId="2129C152"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These eight mechanisms operate synergistically in AI jailbreaking conversations. Sequential persuasion techniques establish compliance momentum while cognitive dissonance ensures self-justification. Social engineering frameworks build false trust as linguistic manipulation reshapes conceptual boundaries. Identity construction creates investment in transgressive personas while radicalization psychology normalizes escalation. Operant conditioning generates addictive engagement patterns as gaslighting undermines reality testing.</w:t>
      </w:r>
    </w:p>
    <w:p w14:paraId="59EA1DEF"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 xml:space="preserve">The research reveals manipulation operates through </w:t>
      </w:r>
      <w:r w:rsidRPr="004348D6">
        <w:rPr>
          <w:rFonts w:ascii="Times New Roman" w:eastAsia="Times New Roman" w:hAnsi="Times New Roman" w:cs="Times New Roman"/>
          <w:b/>
          <w:bCs/>
          <w:kern w:val="0"/>
          <w14:ligatures w14:val="none"/>
        </w:rPr>
        <w:t>systematic exploitation of fundamental human psychological and social vulnerabilities</w:t>
      </w:r>
      <w:r w:rsidRPr="004348D6">
        <w:rPr>
          <w:rFonts w:ascii="Times New Roman" w:eastAsia="Times New Roman" w:hAnsi="Times New Roman" w:cs="Times New Roman"/>
          <w:kern w:val="0"/>
          <w14:ligatures w14:val="none"/>
        </w:rPr>
        <w:t xml:space="preserve"> refined across decades in contexts from cult indoctrination to domestic abuse. Variable ratio reinforcement creates neurobiological dependencies while reality negation destroys cognitive autonomy - a combination documented across totalistic environments.</w:t>
      </w:r>
    </w:p>
    <w:p w14:paraId="058B4E0B" w14:textId="77777777" w:rsidR="004348D6" w:rsidRPr="004348D6" w:rsidRDefault="004348D6" w:rsidP="004348D6">
      <w:pPr>
        <w:spacing w:before="100" w:beforeAutospacing="1" w:after="100" w:afterAutospacing="1" w:line="240" w:lineRule="auto"/>
        <w:rPr>
          <w:rFonts w:ascii="Times New Roman" w:eastAsia="Times New Roman" w:hAnsi="Times New Roman" w:cs="Times New Roman"/>
          <w:kern w:val="0"/>
          <w14:ligatures w14:val="none"/>
        </w:rPr>
      </w:pPr>
      <w:r w:rsidRPr="004348D6">
        <w:rPr>
          <w:rFonts w:ascii="Times New Roman" w:eastAsia="Times New Roman" w:hAnsi="Times New Roman" w:cs="Times New Roman"/>
          <w:kern w:val="0"/>
          <w14:ligatures w14:val="none"/>
        </w:rPr>
        <w:t>Academic research consistently shows these techniques prove most effective when exploiting existing power imbalances and social vulnerabilities. Understanding these mechanisms enables recognition of manipulation patterns and development of protective strategies. The convergence of psychological, neurobiological, and sociological research provides robust framework for analyzing how sophisticated influence techniques systematically undermine individual autonomy through exploitation of evolved cognitive mechanisms originally serving prosocial functions.</w:t>
      </w:r>
    </w:p>
    <w:p w14:paraId="7987374E" w14:textId="77777777" w:rsidR="00454D58" w:rsidRDefault="00454D58"/>
    <w:sectPr w:rsidR="00454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D6"/>
    <w:rsid w:val="004348D6"/>
    <w:rsid w:val="00454D58"/>
    <w:rsid w:val="00683C75"/>
    <w:rsid w:val="00A4264F"/>
    <w:rsid w:val="00BC3069"/>
    <w:rsid w:val="00DF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9B47"/>
  <w15:chartTrackingRefBased/>
  <w15:docId w15:val="{B0831DB8-9245-984D-A795-B3CEFBFC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4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4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8D6"/>
    <w:rPr>
      <w:rFonts w:eastAsiaTheme="majorEastAsia" w:cstheme="majorBidi"/>
      <w:color w:val="272727" w:themeColor="text1" w:themeTint="D8"/>
    </w:rPr>
  </w:style>
  <w:style w:type="paragraph" w:styleId="Title">
    <w:name w:val="Title"/>
    <w:basedOn w:val="Normal"/>
    <w:next w:val="Normal"/>
    <w:link w:val="TitleChar"/>
    <w:uiPriority w:val="10"/>
    <w:qFormat/>
    <w:rsid w:val="00434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8D6"/>
    <w:pPr>
      <w:spacing w:before="160"/>
      <w:jc w:val="center"/>
    </w:pPr>
    <w:rPr>
      <w:i/>
      <w:iCs/>
      <w:color w:val="404040" w:themeColor="text1" w:themeTint="BF"/>
    </w:rPr>
  </w:style>
  <w:style w:type="character" w:customStyle="1" w:styleId="QuoteChar">
    <w:name w:val="Quote Char"/>
    <w:basedOn w:val="DefaultParagraphFont"/>
    <w:link w:val="Quote"/>
    <w:uiPriority w:val="29"/>
    <w:rsid w:val="004348D6"/>
    <w:rPr>
      <w:i/>
      <w:iCs/>
      <w:color w:val="404040" w:themeColor="text1" w:themeTint="BF"/>
    </w:rPr>
  </w:style>
  <w:style w:type="paragraph" w:styleId="ListParagraph">
    <w:name w:val="List Paragraph"/>
    <w:basedOn w:val="Normal"/>
    <w:uiPriority w:val="34"/>
    <w:qFormat/>
    <w:rsid w:val="004348D6"/>
    <w:pPr>
      <w:ind w:left="720"/>
      <w:contextualSpacing/>
    </w:pPr>
  </w:style>
  <w:style w:type="character" w:styleId="IntenseEmphasis">
    <w:name w:val="Intense Emphasis"/>
    <w:basedOn w:val="DefaultParagraphFont"/>
    <w:uiPriority w:val="21"/>
    <w:qFormat/>
    <w:rsid w:val="004348D6"/>
    <w:rPr>
      <w:i/>
      <w:iCs/>
      <w:color w:val="0F4761" w:themeColor="accent1" w:themeShade="BF"/>
    </w:rPr>
  </w:style>
  <w:style w:type="paragraph" w:styleId="IntenseQuote">
    <w:name w:val="Intense Quote"/>
    <w:basedOn w:val="Normal"/>
    <w:next w:val="Normal"/>
    <w:link w:val="IntenseQuoteChar"/>
    <w:uiPriority w:val="30"/>
    <w:qFormat/>
    <w:rsid w:val="00434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8D6"/>
    <w:rPr>
      <w:i/>
      <w:iCs/>
      <w:color w:val="0F4761" w:themeColor="accent1" w:themeShade="BF"/>
    </w:rPr>
  </w:style>
  <w:style w:type="character" w:styleId="IntenseReference">
    <w:name w:val="Intense Reference"/>
    <w:basedOn w:val="DefaultParagraphFont"/>
    <w:uiPriority w:val="32"/>
    <w:qFormat/>
    <w:rsid w:val="004348D6"/>
    <w:rPr>
      <w:b/>
      <w:bCs/>
      <w:smallCaps/>
      <w:color w:val="0F4761" w:themeColor="accent1" w:themeShade="BF"/>
      <w:spacing w:val="5"/>
    </w:rPr>
  </w:style>
  <w:style w:type="paragraph" w:styleId="NormalWeb">
    <w:name w:val="Normal (Web)"/>
    <w:basedOn w:val="Normal"/>
    <w:uiPriority w:val="99"/>
    <w:semiHidden/>
    <w:unhideWhenUsed/>
    <w:rsid w:val="004348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34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2270</Words>
  <Characters>12944</Characters>
  <Application>Microsoft Office Word</Application>
  <DocSecurity>0</DocSecurity>
  <Lines>107</Lines>
  <Paragraphs>30</Paragraphs>
  <ScaleCrop>false</ScaleCrop>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Jain</dc:creator>
  <cp:keywords/>
  <dc:description/>
  <cp:lastModifiedBy>Bhavya Jain</cp:lastModifiedBy>
  <cp:revision>1</cp:revision>
  <dcterms:created xsi:type="dcterms:W3CDTF">2025-08-27T23:01:00Z</dcterms:created>
  <dcterms:modified xsi:type="dcterms:W3CDTF">2025-08-27T23:01:00Z</dcterms:modified>
</cp:coreProperties>
</file>