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aps/>
          <w:color w:val="1F3864"/>
          <w:sz w:val="20"/>
          <w:szCs w:val="20"/>
        </w:rPr>
        <w:t xml:space="preserve">INVESTMENT COMMITTEE MEMORANDUM</w:t>
      </w:r>
    </w:p>
    <w:p>
      <w:pPr>
        <w:pBdr>
          <w:bottom w:val="single" w:color="1F3864" w:sz="12" w:space="6"/>
        </w:pBdr>
        <w:spacing w:after="60" w:before="100"/>
      </w:pPr>
      <w:r>
        <w:rPr>
          <w:rFonts w:ascii="Calibri" w:cs="Calibri" w:eastAsia="Calibri" w:hAnsi="Calibri"/>
          <w:b/>
          <w:bCs/>
          <w:color w:val="1F3864"/>
          <w:sz w:val="56"/>
          <w:szCs w:val="56"/>
        </w:rPr>
        <w:t xml:space="preserve">Project Compass</w:t>
      </w:r>
    </w:p>
    <w:p>
      <w:pPr>
        <w:spacing w:after="400" w:before="120"/>
      </w:pPr>
      <w:r>
        <w:rPr>
          <w:rFonts w:ascii="Calibri" w:cs="Calibri" w:eastAsia="Calibri" w:hAnsi="Calibri"/>
          <w:b/>
          <w:bCs/>
          <w:color w:val="2E4E8C"/>
          <w:sz w:val="26"/>
          <w:szCs w:val="26"/>
        </w:rPr>
        <w:t xml:space="preserve">Capital One Financial Corporation (NYSE: COF) — Proposed Acquisition of Discover Financial Services (NYSE: DFS)</w:t>
      </w:r>
    </w:p>
    <w:p>
      <w:pPr>
        <w:spacing w:after="60"/>
      </w:pPr>
      <w:r>
        <w:rPr>
          <w:rFonts w:ascii="Calibri" w:cs="Calibri" w:eastAsia="Calibri" w:hAnsi="Calibri"/>
          <w:i/>
          <w:iCs/>
          <w:color w:val="000000"/>
          <w:sz w:val="24"/>
          <w:szCs w:val="24"/>
        </w:rPr>
        <w:t xml:space="preserve">$35.3 billion · 100% stock-for-stock · 26.6% premium</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30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Prepared for</w:t>
            </w:r>
          </w:p>
        </w:tc>
        <w:tc>
          <w:tcPr>
            <w:tcW w:type="dxa" w:w="66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Investment Committee</w:t>
            </w:r>
          </w:p>
        </w:tc>
      </w:tr>
      <w:tr>
        <w:tc>
          <w:tcPr>
            <w:tcW w:type="dxa" w:w="30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Prepared by</w:t>
            </w:r>
          </w:p>
        </w:tc>
        <w:tc>
          <w:tcPr>
            <w:tcW w:type="dxa" w:w="66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M&amp;A / Corporate Development Coverage Team</w:t>
            </w:r>
          </w:p>
        </w:tc>
      </w:tr>
      <w:tr>
        <w:tc>
          <w:tcPr>
            <w:tcW w:type="dxa" w:w="30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Date</w:t>
            </w:r>
          </w:p>
        </w:tc>
        <w:tc>
          <w:tcPr>
            <w:tcW w:type="dxa" w:w="66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September 2026 (retrospective analysis; deal closed May 18, 2025)</w:t>
            </w:r>
          </w:p>
        </w:tc>
      </w:tr>
      <w:tr>
        <w:tc>
          <w:tcPr>
            <w:tcW w:type="dxa" w:w="30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Recommendation</w:t>
            </w:r>
          </w:p>
        </w:tc>
        <w:tc>
          <w:tcPr>
            <w:tcW w:type="dxa" w:w="66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SUPPORT — see Section 1</w:t>
            </w:r>
          </w:p>
        </w:tc>
      </w:tr>
      <w:tr>
        <w:tc>
          <w:tcPr>
            <w:tcW w:type="dxa" w:w="30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Companion model</w:t>
            </w:r>
          </w:p>
        </w:tc>
        <w:tc>
          <w:tcPr>
            <w:tcW w:type="dxa" w:w="66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CapitalOne_Discover_MA_Model.xlsx (full accretion/dilution, synergy and sensitivity build)</w:t>
            </w:r>
          </w:p>
        </w:tc>
      </w:tr>
    </w:tbl>
    <w:p>
      <w:pPr>
        <w:spacing w:before="400"/>
      </w:pPr>
      <w:r>
        <w:rPr>
          <w:rFonts w:ascii="Calibri" w:cs="Calibri" w:eastAsia="Calibri" w:hAnsi="Calibri"/>
          <w:i/>
          <w:iCs/>
          <w:color w:val="808080"/>
          <w:sz w:val="16"/>
          <w:szCs w:val="16"/>
        </w:rPr>
        <w:t xml:space="preserve">This memorandum is an independently constructed analyst case study built around the actual, publicly disclosed terms and outcomes of the Capital One / Discover transaction. It is prepared for training and illustrative purposes and should not be relied upon as Capital One's or Discover's own investor communications, nor as investment, legal, or regulatory advice. Source citations are provided throughout; figures not independently sourced are clearly flagged as illustrative analyst estimates.</w:t>
      </w:r>
    </w:p>
    <w:p>
      <w:r>
        <w:br w:type="page"/>
      </w:r>
    </w:p>
    <w:p>
      <w:pPr>
        <w:pStyle w:val="Heading1"/>
        <w:pBdr>
          <w:bottom w:val="single" w:color="1F3864" w:sz="8" w:space="4"/>
        </w:pBdr>
        <w:spacing w:after="140" w:before="320"/>
      </w:pPr>
      <w:r>
        <w:rPr>
          <w:rFonts w:ascii="Calibri" w:cs="Calibri" w:eastAsia="Calibri" w:hAnsi="Calibri"/>
          <w:b/>
          <w:bCs/>
          <w:color w:val="1F3864"/>
          <w:sz w:val="26"/>
          <w:szCs w:val="26"/>
        </w:rPr>
        <w:t xml:space="preserve">1.  Executive Summary &amp; Recommendation</w:t>
      </w:r>
    </w:p>
    <w:p>
      <w:pPr>
        <w:spacing w:after="140" w:line="276"/>
      </w:pPr>
      <w:r>
        <w:rPr>
          <w:rFonts w:ascii="Calibri" w:cs="Calibri" w:eastAsia="Calibri" w:hAnsi="Calibri"/>
          <w:b w:val="false"/>
          <w:bCs w:val="false"/>
          <w:sz w:val="21"/>
          <w:szCs w:val="21"/>
        </w:rPr>
        <w:t xml:space="preserve">We recommend the Investment Committee SUPPORT the acquisition of Discover Financial Services ("DFS") by Capital One Financial Corporation ("COF") on the terms actually negotiated: a 100% stock-for-stock transaction announced at a value of $35.3 billion, representing a 26.6% premium to DFS's unaffected share price, at a fixed exchange ratio of 1.0192 COF shares per DFS share. Because the exchange ratio was fixed and consideration was 100% stock, the dollar value of consideration actually delivered at closing (May 2025) scaled with COF's own share price and came in materially higher, at an actual fair-value purchase consideration of $51.8 billion, a distinction we carry through this memo and flag explicitly wherever the two figures diverge (see Section 2.1). On a pro forma basis, legacy COF shareholders own approximately 60% of the combined company and legacy DFS shareholders approximately 40%.</w:t>
      </w:r>
    </w:p>
    <w:p>
      <w:pPr>
        <w:spacing w:after="140" w:line="276"/>
      </w:pPr>
      <w:r>
        <w:rPr>
          <w:rFonts w:ascii="Calibri" w:cs="Calibri" w:eastAsia="Calibri" w:hAnsi="Calibri"/>
          <w:i/>
          <w:iCs/>
          <w:sz w:val="21"/>
          <w:szCs w:val="21"/>
        </w:rPr>
        <w:t xml:space="preserve">A note on how this memo is organized: because it is written as a September 2026 retrospective, we distinguish throughout between (A) terms fixed at announcement (Feb-2024), which are deal-certain facts; (B) our own signing-date model, meaning an illustrative analyst projection built from information available at announcement and clearly labeled as such; and (C) actual reported outcomes, meaning verified figures from Capital One's subsequent SEC filings and earnings releases. Category (B) figures should not be read as company guidance or as reported results.</w:t>
      </w:r>
    </w:p>
    <w:p>
      <w:pPr>
        <w:spacing w:after="140" w:line="276"/>
      </w:pPr>
      <w:r>
        <w:rPr>
          <w:rFonts w:ascii="Calibri" w:cs="Calibri" w:eastAsia="Calibri" w:hAnsi="Calibri"/>
          <w:sz w:val="21"/>
          <w:szCs w:val="21"/>
        </w:rPr>
        <w:t xml:space="preserve">The transaction's strategic logic is unusual for large-bank M&amp;A: rather than the typical geographic branch-network consolidation, it is a vertical integration play in which the third-largest U.S. general-purpose card issuer (COF) acquires one of only four proprietary U.S. payment networks (Discover Network). This is the first time since American Express's 1993 spin-off of Discover that a major issuer has owned its own network end-to-end, and it is the largest U.S. bank acquisition since the 2008 financial crisis.</w:t>
      </w:r>
    </w:p>
    <w:p>
      <w:pPr>
        <w:spacing w:after="140" w:line="276"/>
      </w:pPr>
      <w:r>
        <w:rPr>
          <w:rFonts w:ascii="Calibri" w:cs="Calibri" w:eastAsia="Calibri" w:hAnsi="Calibri"/>
          <w:sz w:val="21"/>
          <w:szCs w:val="21"/>
        </w:rPr>
        <w:t xml:space="preserve">Our signing-date model (see companion Excel workbook) indicates the deal is:</w:t>
      </w:r>
    </w:p>
    <w:p>
      <w:pPr>
        <w:pStyle w:val="ListParagraph"/>
        <w:numPr>
          <w:ilvl w:val="0"/>
          <w:numId w:val="2"/>
        </w:numPr>
        <w:spacing w:after="80" w:line="270"/>
      </w:pPr>
      <w:r>
        <w:rPr>
          <w:rFonts w:ascii="Calibri" w:cs="Calibri" w:eastAsia="Calibri" w:hAnsi="Calibri"/>
          <w:sz w:val="21"/>
          <w:szCs w:val="21"/>
        </w:rPr>
        <w:t xml:space="preserve">Adjusted (non-GAAP) EPS-accretive in our first projected full-year pro-forma period (+5.6% in 2025E), reaching double-digit accretion by 2026E (+14.0%) and clearing 15% by 2027E (+18.3%) in our model, consistent with the direction, and roughly the magnitude, of management's own "&gt;15% by 2027" guidance.</w:t>
      </w:r>
    </w:p>
    <w:p>
      <w:pPr>
        <w:pStyle w:val="ListParagraph"/>
        <w:numPr>
          <w:ilvl w:val="0"/>
          <w:numId w:val="2"/>
        </w:numPr>
        <w:spacing w:after="80" w:line="270"/>
      </w:pPr>
      <w:r>
        <w:rPr>
          <w:rFonts w:ascii="Calibri" w:cs="Calibri" w:eastAsia="Calibri" w:hAnsi="Calibri"/>
          <w:sz w:val="21"/>
          <w:szCs w:val="21"/>
        </w:rPr>
        <w:t xml:space="preserve">GAAP EPS-dilutive in the year of close, driven almost entirely by a one-time, non-cash $8.8bn initial allowance for credit losses recognized through provision expense on the acquired non-PCD card portfolio (plus a separate $2.9bn PCD allowance established via purchase accounting), a mechanical purchase-accounting effect rather than an economic loss. This is an actual reported item, not a model estimate: Capital One's Q2 2025 GAAP results showed a $4.3bn net loss (-$8.58/share) alongside positive $5.48 adjusted EPS.</w:t>
      </w:r>
    </w:p>
    <w:p>
      <w:pPr>
        <w:pStyle w:val="ListParagraph"/>
        <w:numPr>
          <w:ilvl w:val="0"/>
          <w:numId w:val="2"/>
        </w:numPr>
        <w:spacing w:after="80" w:line="270"/>
      </w:pPr>
      <w:r>
        <w:rPr>
          <w:rFonts w:ascii="Calibri" w:cs="Calibri" w:eastAsia="Calibri" w:hAnsi="Calibri"/>
          <w:sz w:val="21"/>
          <w:szCs w:val="21"/>
        </w:rPr>
        <w:t xml:space="preserve">Structurally supportive of regulatory capital at signing: because consideration is 100% new equity, the deal avoided the capital drain a cash- or debt-funded transaction of this size would have created. Actual reported CET1 rose from 13.5% (12/31/2024) to 14.0% (6/30/2025, the quarter of close), even though the actual purchase-accounting impact ($51.8bn consideration, $13.78bn goodwill and $17.61bn of intangibles after the Q3'25 measurement-period adjustment) was substantially larger than our illustrative signing-date bridge models. See Section 7 for the full comparison.</w:t>
      </w:r>
    </w:p>
    <w:p>
      <w:pPr>
        <w:pStyle w:val="ListParagraph"/>
        <w:numPr>
          <w:ilvl w:val="0"/>
          <w:numId w:val="2"/>
        </w:numPr>
        <w:spacing w:after="80" w:line="270"/>
      </w:pPr>
      <w:r>
        <w:rPr>
          <w:rFonts w:ascii="Calibri" w:cs="Calibri" w:eastAsia="Calibri" w:hAnsi="Calibri"/>
          <w:sz w:val="21"/>
          <w:szCs w:val="21"/>
        </w:rPr>
        <w:t xml:space="preserve">Dependent on execution of a large, multi-year synergy program (~$2.7bn run-rate by 2027, split between $1.5bn cost and $1.2bn network synergies) and on an extended, high-scrutiny regulatory approval process: regulatory approval was obtained roughly 14 months after announcement, and closing followed about a month after that. Integration remains ongoing, and management has indicated total integration costs will exceed the original $2.8bn estimate.</w:t>
      </w:r>
    </w:p>
    <w:p>
      <w:pPr>
        <w:spacing w:after="140" w:line="276"/>
      </w:pPr>
      <w:r>
        <w:rPr>
          <w:rFonts w:ascii="Calibri" w:cs="Calibri" w:eastAsia="Calibri" w:hAnsi="Calibri"/>
          <w:sz w:val="21"/>
          <w:szCs w:val="21"/>
        </w:rPr>
        <w:t xml:space="preserve">The principal risk this memo flags for ongoing monitoring is not approval risk (resolved) but structural: the combination concentrates, rather than diversifies, the combined firm's credit exposure into a single asset class, namely unsecured consumer/card receivables, at a scale (~$250bn+ combined) that makes the combined entity more, not less, sensitive to a consumer credit downturn than either standalone institution. We view this as an acceptable, well-understood, and adequately capitalized risk, but one the Committee should track quarterly rather than treat as fully retired at closing.</w:t>
      </w:r>
    </w:p>
    <w:p>
      <w:pPr>
        <w:pStyle w:val="Heading1"/>
        <w:pBdr>
          <w:bottom w:val="single" w:color="1F3864" w:sz="8" w:space="4"/>
        </w:pBdr>
        <w:spacing w:after="140" w:before="320"/>
      </w:pPr>
      <w:r>
        <w:rPr>
          <w:rFonts w:ascii="Calibri" w:cs="Calibri" w:eastAsia="Calibri" w:hAnsi="Calibri"/>
          <w:b/>
          <w:bCs/>
          <w:color w:val="1F3864"/>
          <w:sz w:val="26"/>
          <w:szCs w:val="26"/>
        </w:rPr>
        <w:t xml:space="preserve">2.  Transaction Overview &amp; Structure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32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Deal Term</w:t>
            </w:r>
          </w:p>
        </w:tc>
        <w:tc>
          <w:tcPr>
            <w:tcW w:type="dxa" w:w="6448"/>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Detail</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Announcement date</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February 19, 2024</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Closing date</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May 18, 2025, approximately 15 months after announcement (regulatory approval was obtained approximately 14 months after announcement, with closing following roughly a month later)</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Transaction value</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$35.3 billion</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Consideration</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100% stock (no cash, no new debt)</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Exchange ratio</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1.0192 COF shares per DFS share (fixed)</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Implied premium</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26.6% to DFS's unaffected closing price of $110.49 (2/16/2024)</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Pro forma ownership</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~60% legacy COF / ~40% legacy DFS shareholders</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Structure</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Reverse triangular merger (DFS merges into a COF subsidiary), followed by a bank-level merger of Discover Bank into Capital One, N.A.</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Financial advisors</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Centerview Partners (COF); PJT Partners (DFS)</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Legal counsel</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Wachtell, Lipton, Rosen &amp; Katz (COF); Cleary Gottlieb Steen &amp; Hamilton (DFS)</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Key regulatory approvals</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Federal Reserve, OCC, Delaware State Bank Commissioner; DOJ antitrust review (no formal challenge)</w:t>
            </w:r>
          </w:p>
        </w:tc>
      </w:tr>
      <w:tr>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Shareholder votes</w:t>
            </w:r>
          </w:p>
        </w:tc>
        <w:tc>
          <w:tcPr>
            <w:tcW w:type="dxa" w:w="6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Both COF and DFS shareholders approved with &gt;99% support (Feb 18, 2025)</w:t>
            </w:r>
          </w:p>
        </w:tc>
      </w:tr>
    </w:tbl>
    <w:p>
      <w:pPr>
        <w:spacing w:after="160"/>
      </w:pPr>
      <w:r>
        <w:rPr>
          <w:rFonts w:ascii="Calibri" w:cs="Calibri" w:eastAsia="Calibri" w:hAnsi="Calibri"/>
          <w:i/>
          <w:iCs/>
          <w:color w:val="808080"/>
          <w:sz w:val="16"/>
          <w:szCs w:val="16"/>
        </w:rPr>
        <w:t xml:space="preserve">Sources: Agreement and Plan of Merger dated 2/19/2024; joint proxy statement/prospectus (Form S-4 / DEFM14A); company press releases.</w:t>
      </w:r>
    </w:p>
    <w:p>
      <w:pPr>
        <w:pStyle w:val="Heading2"/>
        <w:spacing w:after="100" w:before="220"/>
      </w:pPr>
      <w:r>
        <w:rPr>
          <w:rFonts w:ascii="Calibri" w:cs="Calibri" w:eastAsia="Calibri" w:hAnsi="Calibri"/>
          <w:b/>
          <w:bCs/>
          <w:color w:val="2E4E8C"/>
          <w:sz w:val="22"/>
          <w:szCs w:val="22"/>
        </w:rPr>
        <w:t xml:space="preserve">2.1  Announced value ($35.3bn) vs. actual closing consideration ($51.8bn)</w:t>
      </w:r>
    </w:p>
    <w:p>
      <w:pPr>
        <w:spacing w:after="140" w:line="276"/>
      </w:pPr>
      <w:r>
        <w:rPr>
          <w:rFonts w:ascii="Calibri" w:cs="Calibri" w:eastAsia="Calibri" w:hAnsi="Calibri"/>
          <w:sz w:val="21"/>
          <w:szCs w:val="21"/>
        </w:rPr>
        <w:t xml:space="preserve">Because this transaction was announced with a fixed exchange ratio (1.0192x) and 100% stock consideration, the dollar value of what DFS shareholders actually received was not fixed at signing, since it moved with COF's own share price between announcement and close. COF's shares appreciated substantially over the ~15-month regulatory review period, and as a result the actual fair-value purchase consideration Capital One recorded at the May 18, 2025 closing was $51.8 billion ($51,793mm precisely), comprising 256.5 million COF shares reissued from treasury (fair value $50,586mm) plus $1,207mm of other consideration (preferred stock issued to DFS preferred holders and replacement equity awards), 47% higher than the $35.3bn figure quoted at announcement.</w:t>
      </w:r>
    </w:p>
    <w:p>
      <w:pPr>
        <w:spacing w:after="140" w:line="276"/>
      </w:pPr>
      <w:r>
        <w:rPr>
          <w:rFonts w:ascii="Calibri" w:cs="Calibri" w:eastAsia="Calibri" w:hAnsi="Calibri"/>
          <w:sz w:val="21"/>
          <w:szCs w:val="21"/>
        </w:rPr>
        <w:t xml:space="preserve">This is a mechanical consequence of the fixed-exchange-ratio, all-stock structure, not a renegotiation or a change in deal terms, since DFS shareholders received exactly the 1.0192 COF shares per DFS share agreed in February 2024, meaning the increase in dollar value accrued to them, not away from COF. We flag it prominently because it materially affects any dollar-denominated ratio calculated off deal size (purchase-price multiples, ROIC, goodwill as a percentage of consideration, and similar measures); see Sections 5 and 7 for where this matters most.</w:t>
      </w:r>
    </w:p>
    <w:p>
      <w:pPr>
        <w:spacing w:after="140" w:line="276"/>
      </w:pPr>
      <w:r>
        <w:rPr>
          <w:rFonts w:ascii="Calibri" w:cs="Calibri" w:eastAsia="Calibri" w:hAnsi="Calibri"/>
          <w:sz w:val="21"/>
          <w:szCs w:val="21"/>
        </w:rPr>
        <w:t xml:space="preserve">Beyond the funding-structure point above, the all-stock design had two further consequences developed later in this memo: (i) it reduced the capital pressure a cash- or debt-funded transaction of this size would have created (Section 7), and (ii) DFS shareholders retained full economic exposure to the combined entity's success (or failure) rather than being cashed out, which, combined with the sizable premium, was central to DFS's board being able to support the deal despite giving up separate control.</w:t>
      </w:r>
    </w:p>
    <w:p>
      <w:r>
        <w:br w:type="page"/>
      </w:r>
    </w:p>
    <w:p>
      <w:pPr>
        <w:pStyle w:val="Heading1"/>
        <w:pBdr>
          <w:bottom w:val="single" w:color="1F3864" w:sz="8" w:space="4"/>
        </w:pBdr>
        <w:spacing w:after="140" w:before="320"/>
      </w:pPr>
      <w:r>
        <w:rPr>
          <w:rFonts w:ascii="Calibri" w:cs="Calibri" w:eastAsia="Calibri" w:hAnsi="Calibri"/>
          <w:b/>
          <w:bCs/>
          <w:color w:val="1F3864"/>
          <w:sz w:val="26"/>
          <w:szCs w:val="26"/>
        </w:rPr>
        <w:t xml:space="preserve">3.  Strategic Rationale</w:t>
      </w:r>
    </w:p>
    <w:p>
      <w:pPr>
        <w:pStyle w:val="Heading2"/>
        <w:spacing w:after="100" w:before="220"/>
      </w:pPr>
      <w:r>
        <w:rPr>
          <w:rFonts w:ascii="Calibri" w:cs="Calibri" w:eastAsia="Calibri" w:hAnsi="Calibri"/>
          <w:b/>
          <w:bCs/>
          <w:color w:val="2E4E8C"/>
          <w:sz w:val="22"/>
          <w:szCs w:val="22"/>
        </w:rPr>
        <w:t xml:space="preserve">3.1  Network ownership is the core of the thesis</w:t>
      </w:r>
    </w:p>
    <w:p>
      <w:pPr>
        <w:spacing w:after="140" w:line="276"/>
      </w:pPr>
      <w:r>
        <w:rPr>
          <w:rFonts w:ascii="Calibri" w:cs="Calibri" w:eastAsia="Calibri" w:hAnsi="Calibri"/>
          <w:sz w:val="21"/>
          <w:szCs w:val="21"/>
        </w:rPr>
        <w:t xml:space="preserve">Discover Network is one of only four U.S. general-purpose payment networks (alongside Visa, Mastercard, and American Express) and the only one of the four not already vertically integrated with a dominant issuer at COF's scale. Acquiring it converts COF from a bank that pays network fees to Visa and Mastercard on the majority of its card volume into an issuer that can route a meaningful share of that volume over its own network, capturing network economics (interchange and processing) that it previously paid away to a third party.</w:t>
      </w:r>
    </w:p>
    <w:p>
      <w:pPr>
        <w:pStyle w:val="Heading2"/>
        <w:spacing w:after="100" w:before="220"/>
      </w:pPr>
      <w:r>
        <w:rPr>
          <w:rFonts w:ascii="Calibri" w:cs="Calibri" w:eastAsia="Calibri" w:hAnsi="Calibri"/>
          <w:b/>
          <w:bCs/>
          <w:color w:val="2E4E8C"/>
          <w:sz w:val="22"/>
          <w:szCs w:val="22"/>
        </w:rPr>
        <w:t xml:space="preserve">3.2  Complementary, not overlapping, customer franchises</w:t>
      </w:r>
    </w:p>
    <w:p>
      <w:pPr>
        <w:spacing w:after="140" w:line="276"/>
      </w:pPr>
      <w:r>
        <w:rPr>
          <w:rFonts w:ascii="Calibri" w:cs="Calibri" w:eastAsia="Calibri" w:hAnsi="Calibri"/>
          <w:sz w:val="21"/>
          <w:szCs w:val="21"/>
        </w:rPr>
        <w:t xml:space="preserve">COF's card book skews toward mainstream/prime, mass-affluent revolvers acquired largely through partnerships and its own direct marketing; DFS's book skews toward a slightly different prime/near-prime mix built through a direct-to-consumer, no-annual-fee brand with an unusually loyal deposit-gathering franchise (Discover's online savings and CD products are a well-regarded, low-cost deposit funding source). The combination diversifies COF's funding base and adds a scaled, profitable deposit franchise without the branch-network overlap that typically drives divestiture requirements in bank mergers.</w:t>
      </w:r>
    </w:p>
    <w:p>
      <w:pPr>
        <w:pStyle w:val="Heading2"/>
        <w:spacing w:after="100" w:before="220"/>
      </w:pPr>
      <w:r>
        <w:rPr>
          <w:rFonts w:ascii="Calibri" w:cs="Calibri" w:eastAsia="Calibri" w:hAnsi="Calibri"/>
          <w:b/>
          <w:bCs/>
          <w:color w:val="2E4E8C"/>
          <w:sz w:val="22"/>
          <w:szCs w:val="22"/>
        </w:rPr>
        <w:t xml:space="preserve">3.3  Scale economics in a business where scale matters</w:t>
      </w:r>
    </w:p>
    <w:p>
      <w:pPr>
        <w:spacing w:after="140" w:line="276"/>
      </w:pPr>
      <w:r>
        <w:rPr>
          <w:rFonts w:ascii="Calibri" w:cs="Calibri" w:eastAsia="Calibri" w:hAnsi="Calibri"/>
          <w:sz w:val="21"/>
          <w:szCs w:val="21"/>
        </w:rPr>
        <w:t xml:space="preserve">Card issuing and network operation both carry high fixed technology, fraud, compliance and marketing costs that scale efficiently with volume. The combined entity becomes one of the largest U.S. card issuers by receivables, supporting the ~$1.5bn cost-synergy case (technology consolidation, marketing efficiency, corporate overhead) independent of any network benefit.</w:t>
      </w:r>
    </w:p>
    <w:p>
      <w:pPr>
        <w:pStyle w:val="Heading2"/>
        <w:spacing w:after="100" w:before="220"/>
      </w:pPr>
      <w:r>
        <w:rPr>
          <w:rFonts w:ascii="Calibri" w:cs="Calibri" w:eastAsia="Calibri" w:hAnsi="Calibri"/>
          <w:b/>
          <w:bCs/>
          <w:color w:val="2E4E8C"/>
          <w:sz w:val="22"/>
          <w:szCs w:val="22"/>
        </w:rPr>
        <w:t xml:space="preserve">3.4  A rare, cyclically-timed opportunity</w:t>
      </w:r>
    </w:p>
    <w:p>
      <w:pPr>
        <w:spacing w:after="140" w:line="276"/>
      </w:pPr>
      <w:r>
        <w:rPr>
          <w:rFonts w:ascii="Calibri" w:cs="Calibri" w:eastAsia="Calibri" w:hAnsi="Calibri"/>
          <w:sz w:val="21"/>
          <w:szCs w:val="21"/>
        </w:rPr>
        <w:t xml:space="preserve">Discover's standalone position was weakened heading into the deal by a self-identified card-tier / merchant-interchange misclassification issue and elevated compliance scrutiny, which contributed to a leadership change (a new CEO was appointed in December 2023, shortly before the deal was announced) and, in our view, to DFS's board's willingness to negotiate a sale rather than pursue a costly multi-year standalone remediation. This context is relevant to underwriting the premium: part of the 26.6% reflects a genuine going-concern premium for network ownership, and part reflects COF's confidence that its own compliance infrastructure can resolve issues that were depressing DFS's standalone value.</w:t>
      </w:r>
    </w:p>
    <w:p>
      <w:pPr>
        <w:pStyle w:val="Heading1"/>
        <w:pBdr>
          <w:bottom w:val="single" w:color="1F3864" w:sz="8" w:space="4"/>
        </w:pBdr>
        <w:spacing w:after="140" w:before="320"/>
      </w:pPr>
      <w:r>
        <w:rPr>
          <w:rFonts w:ascii="Calibri" w:cs="Calibri" w:eastAsia="Calibri" w:hAnsi="Calibri"/>
          <w:b/>
          <w:bCs/>
          <w:color w:val="1F3864"/>
          <w:sz w:val="26"/>
          <w:szCs w:val="26"/>
        </w:rPr>
        <w:t xml:space="preserve">4.  Synergy Case</w:t>
      </w:r>
    </w:p>
    <w:p>
      <w:pPr>
        <w:spacing w:after="140" w:line="276"/>
      </w:pPr>
      <w:r>
        <w:rPr>
          <w:rFonts w:ascii="Calibri" w:cs="Calibri" w:eastAsia="Calibri" w:hAnsi="Calibri"/>
          <w:sz w:val="21"/>
          <w:szCs w:val="21"/>
        </w:rPr>
        <w:t xml:space="preserve">Management's synergy target is $2.7 billion in pre-tax run-rate synergies by 2027, split between $1.5 billion of cost/expense synergies and $1.2 billion of network synergies, growing further to $3.2 billion by 2030. This is unusual in that roughly 44% of the synergy case (the network component) is revenue-like rather than pure cost-cutting, and is correspondingly more execution-dependent, since it requires actively migrating card and debit purchase volume onto Discover Network rather than simply eliminating duplicate headcount or systems.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c>
          <w:tcPr>
            <w:tcW w:type="dxa" w:w="36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$mm, pre-tax</w:t>
            </w:r>
          </w:p>
        </w:tc>
        <w:tc>
          <w:tcPr>
            <w:tcW w:type="dxa" w:w="1008"/>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2025E</w:t>
            </w:r>
          </w:p>
        </w:tc>
        <w:tc>
          <w:tcPr>
            <w:tcW w:type="dxa" w:w="1008"/>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2026E</w:t>
            </w:r>
          </w:p>
        </w:tc>
        <w:tc>
          <w:tcPr>
            <w:tcW w:type="dxa" w:w="1008"/>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2027E</w:t>
            </w:r>
          </w:p>
        </w:tc>
        <w:tc>
          <w:tcPr>
            <w:tcW w:type="dxa" w:w="1008"/>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2028E</w:t>
            </w:r>
          </w:p>
        </w:tc>
        <w:tc>
          <w:tcPr>
            <w:tcW w:type="dxa" w:w="1008"/>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2029E</w:t>
            </w:r>
          </w:p>
        </w:tc>
        <w:tc>
          <w:tcPr>
            <w:tcW w:type="dxa" w:w="1008"/>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2030E</w:t>
            </w:r>
          </w:p>
        </w:tc>
      </w:tr>
      <w:tr>
        <w:tc>
          <w:tcPr>
            <w:tcW w:type="dxa" w:w="36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Cost / expense synergies</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500</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1,111</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1,500</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1,611</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1,667</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1,778</w:t>
            </w:r>
          </w:p>
        </w:tc>
      </w:tr>
      <w:tr>
        <w:tc>
          <w:tcPr>
            <w:tcW w:type="dxa" w:w="36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Network / revenue synergies</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400</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889</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1,200</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1,289</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1,333</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1,422</w:t>
            </w:r>
          </w:p>
        </w:tc>
      </w:tr>
      <w:tr>
        <w:tc>
          <w:tcPr>
            <w:tcW w:type="dxa" w:w="36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Total run-rate synergies</w:t>
            </w:r>
          </w:p>
        </w:tc>
        <w:tc>
          <w:tcPr>
            <w:tcW w:type="dxa" w:w="1008"/>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900</w:t>
            </w:r>
          </w:p>
        </w:tc>
        <w:tc>
          <w:tcPr>
            <w:tcW w:type="dxa" w:w="1008"/>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2,000</w:t>
            </w:r>
          </w:p>
        </w:tc>
        <w:tc>
          <w:tcPr>
            <w:tcW w:type="dxa" w:w="1008"/>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2,700</w:t>
            </w:r>
          </w:p>
        </w:tc>
        <w:tc>
          <w:tcPr>
            <w:tcW w:type="dxa" w:w="1008"/>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2,900</w:t>
            </w:r>
          </w:p>
        </w:tc>
        <w:tc>
          <w:tcPr>
            <w:tcW w:type="dxa" w:w="1008"/>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3,000</w:t>
            </w:r>
          </w:p>
        </w:tc>
        <w:tc>
          <w:tcPr>
            <w:tcW w:type="dxa" w:w="1008"/>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3,200</w:t>
            </w:r>
          </w:p>
        </w:tc>
      </w:tr>
      <w:tr>
        <w:tc>
          <w:tcPr>
            <w:tcW w:type="dxa" w:w="36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One-time integration costs</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(1,400)</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(980)</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(420)</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w:t>
            </w:r>
          </w:p>
        </w:tc>
        <w:tc>
          <w:tcPr>
            <w:tcW w:type="dxa" w:w="1008"/>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w:t>
            </w:r>
          </w:p>
        </w:tc>
      </w:tr>
    </w:tbl>
    <w:p>
      <w:pPr>
        <w:spacing w:after="160"/>
      </w:pPr>
      <w:r>
        <w:rPr>
          <w:rFonts w:ascii="Calibri" w:cs="Calibri" w:eastAsia="Calibri" w:hAnsi="Calibri"/>
          <w:i/>
          <w:iCs/>
          <w:color w:val="808080"/>
          <w:sz w:val="16"/>
          <w:szCs w:val="16"/>
        </w:rPr>
        <w:t xml:space="preserve">Sources: synergy schedule per S-4 fairness-opinion projections and company deal announcement (2/19/2024); phasing is an illustrative analyst ramp consistent with the disclosed 2025/2027/2030 checkpoints. See companion model, 'Synergy Build' tab.</w:t>
      </w:r>
    </w:p>
    <w:p>
      <w:pPr>
        <w:pStyle w:val="Heading2"/>
        <w:spacing w:after="100" w:before="220"/>
      </w:pPr>
      <w:r>
        <w:rPr>
          <w:rFonts w:ascii="Calibri" w:cs="Calibri" w:eastAsia="Calibri" w:hAnsi="Calibri"/>
          <w:b/>
          <w:bCs/>
          <w:color w:val="2E4E8C"/>
          <w:sz w:val="22"/>
          <w:szCs w:val="22"/>
        </w:rPr>
        <w:t xml:space="preserve">4.1  Cost synergies — high confidence</w:t>
      </w:r>
    </w:p>
    <w:p>
      <w:pPr>
        <w:spacing w:after="140" w:line="276"/>
      </w:pPr>
      <w:r>
        <w:rPr>
          <w:rFonts w:ascii="Calibri" w:cs="Calibri" w:eastAsia="Calibri" w:hAnsi="Calibri"/>
          <w:sz w:val="21"/>
          <w:szCs w:val="21"/>
        </w:rPr>
        <w:t xml:space="preserve">The $1.5bn cost-synergy target is concentrated in technology platform consolidation, marketing spend efficiency, vendor/procurement leverage, and corporate overhead, categories with strong precedent in bank M&amp;A that do not require customer- or merchant-facing behavior change. We view this component as high-confidence and largely realized on the disclosed timeline.</w:t>
      </w:r>
    </w:p>
    <w:p>
      <w:pPr>
        <w:pStyle w:val="Heading2"/>
        <w:spacing w:after="100" w:before="220"/>
      </w:pPr>
      <w:r>
        <w:rPr>
          <w:rFonts w:ascii="Calibri" w:cs="Calibri" w:eastAsia="Calibri" w:hAnsi="Calibri"/>
          <w:b/>
          <w:bCs/>
          <w:color w:val="2E4E8C"/>
          <w:sz w:val="22"/>
          <w:szCs w:val="22"/>
        </w:rPr>
        <w:t xml:space="preserve">4.2  Network synergies — the key execution variable</w:t>
      </w:r>
    </w:p>
    <w:p>
      <w:pPr>
        <w:spacing w:after="140" w:line="276"/>
      </w:pPr>
      <w:r>
        <w:rPr>
          <w:rFonts w:ascii="Calibri" w:cs="Calibri" w:eastAsia="Calibri" w:hAnsi="Calibri"/>
          <w:sz w:val="21"/>
          <w:szCs w:val="21"/>
        </w:rPr>
        <w:t xml:space="preserve">The $1.2bn network-synergy target depends on migrating a targeted portion of COF's own purchase volume (management has cited a multi-year path toward materially higher volume on Discover Network) plus growing Discover Network's third-party debit routing business. This is the most novel, least-precedented element of the deal, since no comparable transaction has attempted this at this scale, and it is the line item most likely to see realization below plan if merchant acceptance expansion or COF's own routing decisions slip. We recommend the Committee track network-synergy realization as a distinct KPI, separate from the more conventional cost-synergy line.</w:t>
      </w:r>
    </w:p>
    <w:p>
      <w:pPr>
        <w:pStyle w:val="Heading2"/>
        <w:spacing w:after="100" w:before="220"/>
      </w:pPr>
      <w:r>
        <w:rPr>
          <w:rFonts w:ascii="Calibri" w:cs="Calibri" w:eastAsia="Calibri" w:hAnsi="Calibri"/>
          <w:b/>
          <w:bCs/>
          <w:color w:val="2E4E8C"/>
          <w:sz w:val="22"/>
          <w:szCs w:val="22"/>
        </w:rPr>
        <w:t xml:space="preserve">4.3  Integration costs are tracking above the original estimate</w:t>
      </w:r>
    </w:p>
    <w:p>
      <w:pPr>
        <w:spacing w:after="140" w:line="276"/>
      </w:pPr>
      <w:r>
        <w:rPr>
          <w:rFonts w:ascii="Calibri" w:cs="Calibri" w:eastAsia="Calibri" w:hAnsi="Calibri"/>
          <w:sz w:val="21"/>
          <w:szCs w:val="21"/>
        </w:rPr>
        <w:t xml:space="preserve">Management's original guidance was approximately $2.8 billion of pre-tax one-time integration costs. Post-close commentary has indicated actual costs are running modestly above this figure, consistent with the general pattern in large-bank integrations where technology and system-conversion costs are underestimated at announcement. This does not change our recommendation but supports building an integration-cost sensitivity into ongoing tracking (see Section 8 / companion model Sensitivity tab, Grid 2).</w:t>
      </w:r>
    </w:p>
    <w:p>
      <w:r>
        <w:br w:type="page"/>
      </w:r>
    </w:p>
    <w:p>
      <w:pPr>
        <w:pStyle w:val="Heading1"/>
        <w:pBdr>
          <w:bottom w:val="single" w:color="1F3864" w:sz="8" w:space="4"/>
        </w:pBdr>
        <w:spacing w:after="140" w:before="320"/>
      </w:pPr>
      <w:r>
        <w:rPr>
          <w:rFonts w:ascii="Calibri" w:cs="Calibri" w:eastAsia="Calibri" w:hAnsi="Calibri"/>
          <w:b/>
          <w:bCs/>
          <w:color w:val="1F3864"/>
          <w:sz w:val="26"/>
          <w:szCs w:val="26"/>
        </w:rPr>
        <w:t xml:space="preserve">5.  Accretion / Dilution Analysis</w:t>
      </w:r>
    </w:p>
    <w:p>
      <w:pPr>
        <w:spacing w:after="140" w:line="276"/>
      </w:pPr>
      <w:r>
        <w:rPr>
          <w:rFonts w:ascii="Calibri" w:cs="Calibri" w:eastAsia="Calibri" w:hAnsi="Calibri"/>
          <w:sz w:val="21"/>
          <w:szCs w:val="21"/>
        </w:rPr>
        <w:t xml:space="preserve">We model a static, signing-date-convention accretion/dilution bridge using FY2023A actuals as the base year (the last full year of financials available at signing), a simplified 7% organic net-income growth assumption for both standalone entities, informed by the long-term growth assumptions used in the S-4 fairness-opinion projections, the disclosed synergy ramp, and a constant pro forma share count. Full detail, including every formula, is in the companion Excel model ("Accretion-Dilution" tab); summary results below.</w:t>
      </w:r>
    </w:p>
    <w:p>
      <w:pPr>
        <w:pStyle w:val="Heading2"/>
        <w:spacing w:after="100" w:before="220"/>
      </w:pPr>
      <w:r>
        <w:rPr>
          <w:rFonts w:ascii="Calibri" w:cs="Calibri" w:eastAsia="Calibri" w:hAnsi="Calibri"/>
          <w:b/>
          <w:bCs/>
          <w:color w:val="2E4E8C"/>
          <w:sz w:val="22"/>
          <w:szCs w:val="22"/>
        </w:rPr>
        <w:t xml:space="preserve">5.1  Adjusted (non-GAAP) basis — the metric management guides to</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42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Metric</w:t>
            </w:r>
          </w:p>
        </w:tc>
        <w:tc>
          <w:tcPr>
            <w:tcW w:type="dxa" w:w="1362"/>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2025E</w:t>
            </w:r>
          </w:p>
        </w:tc>
        <w:tc>
          <w:tcPr>
            <w:tcW w:type="dxa" w:w="1362"/>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2026E</w:t>
            </w:r>
          </w:p>
        </w:tc>
        <w:tc>
          <w:tcPr>
            <w:tcW w:type="dxa" w:w="1362"/>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2027E</w:t>
            </w:r>
          </w:p>
        </w:tc>
        <w:tc>
          <w:tcPr>
            <w:tcW w:type="dxa" w:w="1362"/>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2028E</w:t>
            </w:r>
          </w:p>
        </w:tc>
      </w:tr>
      <w:tr>
        <w:tc>
          <w:tcPr>
            <w:tcW w:type="dxa" w:w="42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COF standalone EPS (benchmark)</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$13.68</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$14.64</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$15.67</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$16.76</w:t>
            </w:r>
          </w:p>
        </w:tc>
      </w:tr>
      <w:tr>
        <w:tc>
          <w:tcPr>
            <w:tcW w:type="dxa" w:w="42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Adjusted pro forma EPS</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$14.45</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$16.69</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$18.53</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$19.84</w:t>
            </w:r>
          </w:p>
        </w:tc>
      </w:tr>
      <w:tr>
        <w:tc>
          <w:tcPr>
            <w:tcW w:type="dxa" w:w="42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Adjusted EPS accretion / (dilution)</w:t>
            </w:r>
          </w:p>
        </w:tc>
        <w:tc>
          <w:tcPr>
            <w:tcW w:type="dxa" w:w="1362"/>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+5.6%</w:t>
            </w:r>
          </w:p>
        </w:tc>
        <w:tc>
          <w:tcPr>
            <w:tcW w:type="dxa" w:w="1362"/>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+14.0%</w:t>
            </w:r>
          </w:p>
        </w:tc>
        <w:tc>
          <w:tcPr>
            <w:tcW w:type="dxa" w:w="1362"/>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+18.3%</w:t>
            </w:r>
          </w:p>
        </w:tc>
        <w:tc>
          <w:tcPr>
            <w:tcW w:type="dxa" w:w="1362"/>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+18.3%</w:t>
            </w:r>
          </w:p>
        </w:tc>
      </w:tr>
    </w:tbl>
    <w:p>
      <w:pPr>
        <w:spacing w:after="140" w:line="276"/>
      </w:pPr>
      <w:r>
        <w:rPr>
          <w:rFonts w:ascii="Calibri" w:cs="Calibri" w:eastAsia="Calibri" w:hAnsi="Calibri"/>
          <w:sz w:val="21"/>
          <w:szCs w:val="21"/>
        </w:rPr>
        <w:t xml:space="preserve">On this basis, the deal is modestly accretive in our first projected full-year pro-forma period (+5.6% in 2025E), reaches double-digit accretion in 2026E (+14.0%), and clears management's own "&gt;15% by 2027" guidance threshold in our model (+18.3% in 2027E and 2028E). This is directionally consistent with, and roughly in line with, management's public guidance, so we would not read the small excess above 15% as a meaningful gap given our simplified treatment of items such as share buybacks and credit-cost normalization, both of which management's own guidance implicitly nets against the synergy build.</w:t>
      </w:r>
    </w:p>
    <w:p>
      <w:pPr>
        <w:pStyle w:val="Heading2"/>
        <w:spacing w:after="100" w:before="220"/>
      </w:pPr>
      <w:r>
        <w:rPr>
          <w:rFonts w:ascii="Calibri" w:cs="Calibri" w:eastAsia="Calibri" w:hAnsi="Calibri"/>
          <w:b/>
          <w:bCs/>
          <w:color w:val="2E4E8C"/>
          <w:sz w:val="22"/>
          <w:szCs w:val="22"/>
        </w:rPr>
        <w:t xml:space="preserve">5.2  GAAP reported basis — where the day-1 CECL allowance build shows up</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42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Metric</w:t>
            </w:r>
          </w:p>
        </w:tc>
        <w:tc>
          <w:tcPr>
            <w:tcW w:type="dxa" w:w="1362"/>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2025E</w:t>
            </w:r>
          </w:p>
        </w:tc>
        <w:tc>
          <w:tcPr>
            <w:tcW w:type="dxa" w:w="1362"/>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2026E</w:t>
            </w:r>
          </w:p>
        </w:tc>
        <w:tc>
          <w:tcPr>
            <w:tcW w:type="dxa" w:w="1362"/>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2027E</w:t>
            </w:r>
          </w:p>
        </w:tc>
        <w:tc>
          <w:tcPr>
            <w:tcW w:type="dxa" w:w="1362"/>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2028E</w:t>
            </w:r>
          </w:p>
        </w:tc>
      </w:tr>
      <w:tr>
        <w:tc>
          <w:tcPr>
            <w:tcW w:type="dxa" w:w="42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COF standalone EPS (benchmark)</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$13.68</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$14.64</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$15.67</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$16.76</w:t>
            </w:r>
          </w:p>
        </w:tc>
      </w:tr>
      <w:tr>
        <w:tc>
          <w:tcPr>
            <w:tcW w:type="dxa" w:w="42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GAAP pro forma EPS</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$2.17</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$15.36</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$17.89</w:t>
            </w:r>
          </w:p>
        </w:tc>
        <w:tc>
          <w:tcPr>
            <w:tcW w:type="dxa" w:w="1362"/>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$19.72</w:t>
            </w:r>
          </w:p>
        </w:tc>
      </w:tr>
      <w:tr>
        <w:tc>
          <w:tcPr>
            <w:tcW w:type="dxa" w:w="42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GAAP EPS accretion / (dilution)</w:t>
            </w:r>
          </w:p>
        </w:tc>
        <w:tc>
          <w:tcPr>
            <w:tcW w:type="dxa" w:w="1362"/>
            <w:shd w:fill="FFF2CC" w:val="clear"/>
            <w:tcMar>
              <w:top w:type="dxa" w:w="60"/>
              <w:left w:type="dxa" w:w="90"/>
              <w:bottom w:type="dxa" w:w="60"/>
              <w:right w:type="dxa" w:w="90"/>
            </w:tcMar>
            <w:vAlign w:val="center"/>
          </w:tcPr>
          <w:p>
            <w:pPr>
              <w:jc w:val="center"/>
            </w:pPr>
            <w:r>
              <w:rPr>
                <w:rFonts w:ascii="Calibri" w:cs="Calibri" w:eastAsia="Calibri" w:hAnsi="Calibri"/>
                <w:b/>
                <w:bCs/>
                <w:color w:val="C00000"/>
                <w:sz w:val="19"/>
                <w:szCs w:val="19"/>
              </w:rPr>
              <w:t xml:space="preserve">(84.2%)</w:t>
            </w:r>
          </w:p>
        </w:tc>
        <w:tc>
          <w:tcPr>
            <w:tcW w:type="dxa" w:w="1362"/>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+4.9%</w:t>
            </w:r>
          </w:p>
        </w:tc>
        <w:tc>
          <w:tcPr>
            <w:tcW w:type="dxa" w:w="1362"/>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+14.2%</w:t>
            </w:r>
          </w:p>
        </w:tc>
        <w:tc>
          <w:tcPr>
            <w:tcW w:type="dxa" w:w="1362"/>
            <w:shd w:fill="FFF2CC" w:val="clear"/>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+17.6%</w:t>
            </w:r>
          </w:p>
        </w:tc>
      </w:tr>
    </w:tbl>
    <w:p>
      <w:pPr>
        <w:spacing w:after="140" w:line="276"/>
      </w:pPr>
      <w:r>
        <w:rPr>
          <w:rFonts w:ascii="Calibri" w:cs="Calibri" w:eastAsia="Calibri" w:hAnsi="Calibri"/>
          <w:sz w:val="21"/>
          <w:szCs w:val="21"/>
        </w:rPr>
        <w:t xml:space="preserve">The GAAP bridge tells a materially different, and important, story: 2025E is sharply dilutive on a GAAP basis, driven almost entirely by an $8.8 billion pre-tax, non-cash initial allowance for credit losses that GAAP purchase accounting requires Capital One to recognize through provision expense on the acquired non-PCD (non-purchased-credit-deteriorated) loan book at close. A separate $2.9 billion allowance for the smaller PCD portion of the acquired book is established directly through purchase accounting rather than through the income statement. This is a real, actually-reported item, since Capital One's Q2 2025 earnings (the quarter of close) reported a GAAP net loss of $4.3 billion (-$8.58 per diluted share) driven substantially by this mechanism, alongside a positive adjusted (non-GAAP) diluted EPS of $5.48. By 2026E the GAAP bridge turns accretive as the one-time non-PCD charge rolls off, consistent with the general direction of management's guidance toward improving GAAP results in the 2026–2027 window.</w:t>
      </w:r>
    </w:p>
    <w:p>
      <w:pPr>
        <w:spacing w:after="140" w:line="276"/>
      </w:pPr>
      <w:r>
        <w:rPr>
          <w:rFonts w:ascii="Calibri" w:cs="Calibri" w:eastAsia="Calibri" w:hAnsi="Calibri"/>
          <w:i/>
          <w:iCs/>
          <w:sz w:val="21"/>
          <w:szCs w:val="21"/>
        </w:rPr>
        <w:t xml:space="preserve">This GAAP/adjusted divergence is a normal, well-understood feature of CECL-era bank M&amp;A, not a red flag, but it is exactly the kind of item that can be mischaracterized in headlines ("Capital One reports large loss") without the purchase-accounting context, and the Committee should be prepared to explain it in those terms if asked.</w:t>
      </w:r>
    </w:p>
    <w:p>
      <w:pPr>
        <w:spacing w:after="160"/>
      </w:pPr>
      <w:r>
        <w:rPr>
          <w:rFonts w:ascii="Calibri" w:cs="Calibri" w:eastAsia="Calibri" w:hAnsi="Calibri"/>
          <w:i/>
          <w:iCs/>
          <w:color w:val="808080"/>
          <w:sz w:val="16"/>
          <w:szCs w:val="16"/>
        </w:rPr>
        <w:t xml:space="preserve">Note: figures above are model outputs calibrated to, but not identical to, company-reported results; see companion workbook for full build and explicit statement of simplifying assumptions.</w:t>
      </w:r>
    </w:p>
    <w:p>
      <w:r>
        <w:br w:type="page"/>
      </w:r>
    </w:p>
    <w:p>
      <w:pPr>
        <w:pStyle w:val="Heading1"/>
        <w:pBdr>
          <w:bottom w:val="single" w:color="1F3864" w:sz="8" w:space="4"/>
        </w:pBdr>
        <w:spacing w:after="140" w:before="320"/>
      </w:pPr>
      <w:r>
        <w:rPr>
          <w:rFonts w:ascii="Calibri" w:cs="Calibri" w:eastAsia="Calibri" w:hAnsi="Calibri"/>
          <w:b/>
          <w:bCs/>
          <w:color w:val="1F3864"/>
          <w:sz w:val="26"/>
          <w:szCs w:val="26"/>
        </w:rPr>
        <w:t xml:space="preserve">6.  Valuation &amp; Premium Analysis</w:t>
      </w:r>
    </w:p>
    <w:p>
      <w:pPr>
        <w:spacing w:after="140" w:line="276"/>
      </w:pPr>
      <w:r>
        <w:rPr>
          <w:rFonts w:ascii="Calibri" w:cs="Calibri" w:eastAsia="Calibri" w:hAnsi="Calibri"/>
          <w:sz w:val="21"/>
          <w:szCs w:val="21"/>
        </w:rPr>
        <w:t xml:space="preserve">The 26.6% premium to DFS's unaffected share price sits well above the near-zero premium seen in the 2019 BB&amp;T/SunTrust combination (Truist), but that comparison is instructive precisely because the two deals have different structures, not because one premium is objectively "right" and the other "wrong." BB&amp;T/SunTrust was structured and governed as a genuine merger of equals (shared board seats, a co-CEO transition period); COF/DFS is a control transaction in which COF retains ~60% ownership and full management/board control. A meaningfully higher premium is the expected and appropriate outcome of a control transaction versus an MOE, and we do not view 26.6% as rich in that context.</w:t>
      </w:r>
    </w:p>
    <w:p>
      <w:pPr>
        <w:spacing w:after="140" w:line="276"/>
      </w:pPr>
      <w:r>
        <w:rPr>
          <w:rFonts w:ascii="Calibri" w:cs="Calibri" w:eastAsia="Calibri" w:hAnsi="Calibri"/>
          <w:sz w:val="21"/>
          <w:szCs w:val="21"/>
        </w:rPr>
        <w:t xml:space="preserve">We also considered the deal against PNC's $11.6 billion cash acquisition of BBVA USA (2020) and First Citizens BancShares' FDIC-assisted acquisition of the Silicon Valley Bank bridge bank (2023); neither is a clean premium comparable (the former was a subsidiary sale with no minority shareholders, the latter a distressed-asset purchase at a discount), but both usefully bound the range of recent large-bank transaction structures and reinforce that COF/DFS's all-stock, control-premium structure is closer to a "normal" strategic acquisition than either alternative.</w:t>
      </w:r>
    </w:p>
    <w:p>
      <w:pPr>
        <w:spacing w:after="140" w:line="276"/>
      </w:pPr>
      <w:r>
        <w:rPr>
          <w:rFonts w:ascii="Calibri" w:cs="Calibri" w:eastAsia="Calibri" w:hAnsi="Calibri"/>
          <w:sz w:val="21"/>
          <w:szCs w:val="21"/>
        </w:rPr>
        <w:t xml:space="preserve">Full precedent detail is provided in the companion model's "Precedent Transactions" tab.</w:t>
      </w:r>
    </w:p>
    <w:p>
      <w:pPr>
        <w:pStyle w:val="Heading1"/>
        <w:pBdr>
          <w:bottom w:val="single" w:color="1F3864" w:sz="8" w:space="4"/>
        </w:pBdr>
        <w:spacing w:after="140" w:before="320"/>
      </w:pPr>
      <w:r>
        <w:rPr>
          <w:rFonts w:ascii="Calibri" w:cs="Calibri" w:eastAsia="Calibri" w:hAnsi="Calibri"/>
          <w:b/>
          <w:bCs/>
          <w:color w:val="1F3864"/>
          <w:sz w:val="26"/>
          <w:szCs w:val="26"/>
        </w:rPr>
        <w:t xml:space="preserve">7.  Capital Impact</w:t>
      </w:r>
    </w:p>
    <w:p>
      <w:pPr>
        <w:spacing w:after="140" w:line="276"/>
      </w:pPr>
      <w:r>
        <w:rPr>
          <w:rFonts w:ascii="Calibri" w:cs="Calibri" w:eastAsia="Calibri" w:hAnsi="Calibri"/>
          <w:sz w:val="21"/>
          <w:szCs w:val="21"/>
        </w:rPr>
        <w:t xml:space="preserve">We present two views here, deliberately kept separate. Part A is our own illustrative, static signing-date bridge, built from FY2023A actuals plus the $35.3bn announced deal value and a simplified goodwill/intangibles plug sized only so the bridge lands near the disclosed outcome. Part B is the actual reported outcome from Capital One's Q2'25/Q3'25 10-Q filings. The two should not be read as reconciling line-for-line: Part B's actual consideration, goodwill and intangibles are all substantially larger than Part A's illustrative inputs (because actual consideration reflects COF's May-2025 share price of ~$51.8bn, not the Feb-2024 announced $35.3bn), yet both point to the same qualitative conclusion — CET1 improved, not worsened, through closing.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7248"/>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Part A — Illustrative Signing-Date Bridge ($mm)</w:t>
            </w:r>
          </w:p>
        </w:tc>
        <w:tc>
          <w:tcPr>
            <w:tcW w:type="dxa" w:w="2400"/>
            <w:shd w:fill="1F3864"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
            </w:r>
          </w:p>
        </w:tc>
      </w:tr>
      <w:tr>
        <w:tc>
          <w:tcPr>
            <w:tcW w:type="dxa" w:w="72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COF standalone CET1 capital, FY2023A</w:t>
            </w:r>
          </w:p>
        </w:tc>
        <w:tc>
          <w:tcPr>
            <w:tcW w:type="dxa" w:w="2400"/>
            <w:tcMar>
              <w:top w:type="dxa" w:w="60"/>
              <w:left w:type="dxa" w:w="90"/>
              <w:bottom w:type="dxa" w:w="60"/>
              <w:right w:type="dxa" w:w="90"/>
            </w:tcMar>
            <w:vAlign w:val="center"/>
          </w:tcPr>
          <w:p>
            <w:pPr>
              <w:jc w:val="right"/>
            </w:pPr>
            <w:r>
              <w:rPr>
                <w:rFonts w:ascii="Calibri" w:cs="Calibri" w:eastAsia="Calibri" w:hAnsi="Calibri"/>
                <w:b w:val="false"/>
                <w:bCs w:val="false"/>
                <w:color w:val="000000"/>
                <w:sz w:val="19"/>
                <w:szCs w:val="19"/>
              </w:rPr>
              <w:t xml:space="preserve">$47,730</w:t>
            </w:r>
          </w:p>
        </w:tc>
      </w:tr>
      <w:tr>
        <w:tc>
          <w:tcPr>
            <w:tcW w:type="dxa" w:w="72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Plus: new common equity issued, at $35.3bn ANNOUNCED value</w:t>
            </w:r>
          </w:p>
        </w:tc>
        <w:tc>
          <w:tcPr>
            <w:tcW w:type="dxa" w:w="2400"/>
            <w:tcMar>
              <w:top w:type="dxa" w:w="60"/>
              <w:left w:type="dxa" w:w="90"/>
              <w:bottom w:type="dxa" w:w="60"/>
              <w:right w:type="dxa" w:w="90"/>
            </w:tcMar>
            <w:vAlign w:val="center"/>
          </w:tcPr>
          <w:p>
            <w:pPr>
              <w:jc w:val="right"/>
            </w:pPr>
            <w:r>
              <w:rPr>
                <w:rFonts w:ascii="Calibri" w:cs="Calibri" w:eastAsia="Calibri" w:hAnsi="Calibri"/>
                <w:b w:val="false"/>
                <w:bCs w:val="false"/>
                <w:color w:val="000000"/>
                <w:sz w:val="19"/>
                <w:szCs w:val="19"/>
              </w:rPr>
              <w:t xml:space="preserve">$35,300</w:t>
            </w:r>
          </w:p>
        </w:tc>
      </w:tr>
      <w:tr>
        <w:tc>
          <w:tcPr>
            <w:tcW w:type="dxa" w:w="72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Less: goodwill &amp; intangibles — illustrative plug (NOT actual — see Part B)</w:t>
            </w:r>
          </w:p>
        </w:tc>
        <w:tc>
          <w:tcPr>
            <w:tcW w:type="dxa" w:w="2400"/>
            <w:tcMar>
              <w:top w:type="dxa" w:w="60"/>
              <w:left w:type="dxa" w:w="90"/>
              <w:bottom w:type="dxa" w:w="60"/>
              <w:right w:type="dxa" w:w="90"/>
            </w:tcMar>
            <w:vAlign w:val="center"/>
          </w:tcPr>
          <w:p>
            <w:pPr>
              <w:jc w:val="right"/>
            </w:pPr>
            <w:r>
              <w:rPr>
                <w:rFonts w:ascii="Calibri" w:cs="Calibri" w:eastAsia="Calibri" w:hAnsi="Calibri"/>
                <w:b w:val="false"/>
                <w:bCs w:val="false"/>
                <w:color w:val="000000"/>
                <w:sz w:val="19"/>
                <w:szCs w:val="19"/>
              </w:rPr>
              <w:t xml:space="preserve">($7,400)</w:t>
            </w:r>
          </w:p>
        </w:tc>
      </w:tr>
      <w:tr>
        <w:tc>
          <w:tcPr>
            <w:tcW w:type="dxa" w:w="72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Less: initial non-PCD CECL allowance build, after-tax</w:t>
            </w:r>
          </w:p>
        </w:tc>
        <w:tc>
          <w:tcPr>
            <w:tcW w:type="dxa" w:w="2400"/>
            <w:tcMar>
              <w:top w:type="dxa" w:w="60"/>
              <w:left w:type="dxa" w:w="90"/>
              <w:bottom w:type="dxa" w:w="60"/>
              <w:right w:type="dxa" w:w="90"/>
            </w:tcMar>
            <w:vAlign w:val="center"/>
          </w:tcPr>
          <w:p>
            <w:pPr>
              <w:jc w:val="right"/>
            </w:pPr>
            <w:r>
              <w:rPr>
                <w:rFonts w:ascii="Calibri" w:cs="Calibri" w:eastAsia="Calibri" w:hAnsi="Calibri"/>
                <w:b w:val="false"/>
                <w:bCs w:val="false"/>
                <w:color w:val="000000"/>
                <w:sz w:val="19"/>
                <w:szCs w:val="19"/>
              </w:rPr>
              <w:t xml:space="preserve">($6,688)</w:t>
            </w:r>
          </w:p>
        </w:tc>
      </w:tr>
      <w:tr>
        <w:tc>
          <w:tcPr>
            <w:tcW w:type="dxa" w:w="72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Less: after-tax integration/transaction costs at close</w:t>
            </w:r>
          </w:p>
        </w:tc>
        <w:tc>
          <w:tcPr>
            <w:tcW w:type="dxa" w:w="2400"/>
            <w:tcMar>
              <w:top w:type="dxa" w:w="60"/>
              <w:left w:type="dxa" w:w="90"/>
              <w:bottom w:type="dxa" w:w="60"/>
              <w:right w:type="dxa" w:w="90"/>
            </w:tcMar>
            <w:vAlign w:val="center"/>
          </w:tcPr>
          <w:p>
            <w:pPr>
              <w:jc w:val="right"/>
            </w:pPr>
            <w:r>
              <w:rPr>
                <w:rFonts w:ascii="Calibri" w:cs="Calibri" w:eastAsia="Calibri" w:hAnsi="Calibri"/>
                <w:b w:val="false"/>
                <w:bCs w:val="false"/>
                <w:color w:val="000000"/>
                <w:sz w:val="19"/>
                <w:szCs w:val="19"/>
              </w:rPr>
              <w:t xml:space="preserve">($1,064)</w:t>
            </w:r>
          </w:p>
        </w:tc>
      </w:tr>
      <w:tr>
        <w:tc>
          <w:tcPr>
            <w:tcW w:type="dxa" w:w="7248"/>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Pro forma CET1 capital — illustrative bridge</w:t>
            </w:r>
          </w:p>
        </w:tc>
        <w:tc>
          <w:tcPr>
            <w:tcW w:type="dxa" w:w="2400"/>
            <w:tcMar>
              <w:top w:type="dxa" w:w="60"/>
              <w:left w:type="dxa" w:w="90"/>
              <w:bottom w:type="dxa" w:w="60"/>
              <w:right w:type="dxa" w:w="90"/>
            </w:tcMar>
            <w:vAlign w:val="center"/>
          </w:tcPr>
          <w:p>
            <w:pPr>
              <w:jc w:val="right"/>
            </w:pPr>
            <w:r>
              <w:rPr>
                <w:rFonts w:ascii="Calibri" w:cs="Calibri" w:eastAsia="Calibri" w:hAnsi="Calibri"/>
                <w:b/>
                <w:bCs/>
                <w:color w:val="000000"/>
                <w:sz w:val="19"/>
                <w:szCs w:val="19"/>
              </w:rPr>
              <w:t xml:space="preserve">$67,878</w:t>
            </w:r>
          </w:p>
        </w:tc>
      </w:tr>
      <w:tr>
        <w:tc>
          <w:tcPr>
            <w:tcW w:type="dxa" w:w="7248"/>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Pro forma CET1 ratio at close — MODEL</w:t>
            </w:r>
          </w:p>
        </w:tc>
        <w:tc>
          <w:tcPr>
            <w:tcW w:type="dxa" w:w="2400"/>
            <w:shd w:fill="FFF2CC" w:val="clear"/>
            <w:tcMar>
              <w:top w:type="dxa" w:w="60"/>
              <w:left w:type="dxa" w:w="90"/>
              <w:bottom w:type="dxa" w:w="60"/>
              <w:right w:type="dxa" w:w="90"/>
            </w:tcMar>
            <w:vAlign w:val="center"/>
          </w:tcPr>
          <w:p>
            <w:pPr>
              <w:jc w:val="right"/>
            </w:pPr>
            <w:r>
              <w:rPr>
                <w:rFonts w:ascii="Calibri" w:cs="Calibri" w:eastAsia="Calibri" w:hAnsi="Calibri"/>
                <w:b/>
                <w:bCs/>
                <w:color w:val="000000"/>
                <w:sz w:val="19"/>
                <w:szCs w:val="19"/>
              </w:rPr>
              <w:t xml:space="preserve">~14.0%</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7248"/>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Part B — Actual Reported Outcome (per COF 10-Q)</w:t>
            </w:r>
          </w:p>
        </w:tc>
        <w:tc>
          <w:tcPr>
            <w:tcW w:type="dxa" w:w="2400"/>
            <w:shd w:fill="1F3864" w:val="clear"/>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
            </w:r>
          </w:p>
        </w:tc>
      </w:tr>
      <w:tr>
        <w:tc>
          <w:tcPr>
            <w:tcW w:type="dxa" w:w="72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Actual total purchase consideration at closing</w:t>
            </w:r>
          </w:p>
        </w:tc>
        <w:tc>
          <w:tcPr>
            <w:tcW w:type="dxa" w:w="2400"/>
            <w:tcMar>
              <w:top w:type="dxa" w:w="60"/>
              <w:left w:type="dxa" w:w="90"/>
              <w:bottom w:type="dxa" w:w="60"/>
              <w:right w:type="dxa" w:w="90"/>
            </w:tcMar>
            <w:vAlign w:val="center"/>
          </w:tcPr>
          <w:p>
            <w:pPr>
              <w:jc w:val="right"/>
            </w:pPr>
            <w:r>
              <w:rPr>
                <w:rFonts w:ascii="Calibri" w:cs="Calibri" w:eastAsia="Calibri" w:hAnsi="Calibri"/>
                <w:b w:val="false"/>
                <w:bCs w:val="false"/>
                <w:color w:val="000000"/>
                <w:sz w:val="19"/>
                <w:szCs w:val="19"/>
              </w:rPr>
              <w:t xml:space="preserve">$51,793</w:t>
            </w:r>
          </w:p>
        </w:tc>
      </w:tr>
      <w:tr>
        <w:tc>
          <w:tcPr>
            <w:tcW w:type="dxa" w:w="72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Actual goodwill recorded, post-Q3'25 measurement-period adjustment</w:t>
            </w:r>
          </w:p>
        </w:tc>
        <w:tc>
          <w:tcPr>
            <w:tcW w:type="dxa" w:w="2400"/>
            <w:tcMar>
              <w:top w:type="dxa" w:w="60"/>
              <w:left w:type="dxa" w:w="90"/>
              <w:bottom w:type="dxa" w:w="60"/>
              <w:right w:type="dxa" w:w="90"/>
            </w:tcMar>
            <w:vAlign w:val="center"/>
          </w:tcPr>
          <w:p>
            <w:pPr>
              <w:jc w:val="right"/>
            </w:pPr>
            <w:r>
              <w:rPr>
                <w:rFonts w:ascii="Calibri" w:cs="Calibri" w:eastAsia="Calibri" w:hAnsi="Calibri"/>
                <w:b w:val="false"/>
                <w:bCs w:val="false"/>
                <w:color w:val="000000"/>
                <w:sz w:val="19"/>
                <w:szCs w:val="19"/>
              </w:rPr>
              <w:t xml:space="preserve">$13,778</w:t>
            </w:r>
          </w:p>
        </w:tc>
      </w:tr>
      <w:tr>
        <w:tc>
          <w:tcPr>
            <w:tcW w:type="dxa" w:w="72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Actual identifiable intangible assets recorded, post-Q3'25 measurement-period adjustment</w:t>
            </w:r>
          </w:p>
        </w:tc>
        <w:tc>
          <w:tcPr>
            <w:tcW w:type="dxa" w:w="2400"/>
            <w:tcMar>
              <w:top w:type="dxa" w:w="60"/>
              <w:left w:type="dxa" w:w="90"/>
              <w:bottom w:type="dxa" w:w="60"/>
              <w:right w:type="dxa" w:w="90"/>
            </w:tcMar>
            <w:vAlign w:val="center"/>
          </w:tcPr>
          <w:p>
            <w:pPr>
              <w:jc w:val="right"/>
            </w:pPr>
            <w:r>
              <w:rPr>
                <w:rFonts w:ascii="Calibri" w:cs="Calibri" w:eastAsia="Calibri" w:hAnsi="Calibri"/>
                <w:b w:val="false"/>
                <w:bCs w:val="false"/>
                <w:color w:val="000000"/>
                <w:sz w:val="19"/>
                <w:szCs w:val="19"/>
              </w:rPr>
              <w:t xml:space="preserve">$17,610</w:t>
            </w:r>
          </w:p>
        </w:tc>
      </w:tr>
      <w:tr>
        <w:tc>
          <w:tcPr>
            <w:tcW w:type="dxa" w:w="72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Actual CET1 ratio, 12/31/2024 (pre-close)</w:t>
            </w:r>
          </w:p>
        </w:tc>
        <w:tc>
          <w:tcPr>
            <w:tcW w:type="dxa" w:w="2400"/>
            <w:tcMar>
              <w:top w:type="dxa" w:w="60"/>
              <w:left w:type="dxa" w:w="90"/>
              <w:bottom w:type="dxa" w:w="60"/>
              <w:right w:type="dxa" w:w="90"/>
            </w:tcMar>
            <w:vAlign w:val="center"/>
          </w:tcPr>
          <w:p>
            <w:pPr>
              <w:jc w:val="right"/>
            </w:pPr>
            <w:r>
              <w:rPr>
                <w:rFonts w:ascii="Calibri" w:cs="Calibri" w:eastAsia="Calibri" w:hAnsi="Calibri"/>
                <w:b w:val="false"/>
                <w:bCs w:val="false"/>
                <w:color w:val="000000"/>
                <w:sz w:val="19"/>
                <w:szCs w:val="19"/>
              </w:rPr>
              <w:t xml:space="preserve">13.5%</w:t>
            </w:r>
          </w:p>
        </w:tc>
      </w:tr>
      <w:tr>
        <w:tc>
          <w:tcPr>
            <w:tcW w:type="dxa" w:w="7248"/>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Actual CET1 ratio, 6/30/2025 (quarter of close)</w:t>
            </w:r>
          </w:p>
        </w:tc>
        <w:tc>
          <w:tcPr>
            <w:tcW w:type="dxa" w:w="2400"/>
            <w:shd w:fill="FFF2CC" w:val="clear"/>
            <w:tcMar>
              <w:top w:type="dxa" w:w="60"/>
              <w:left w:type="dxa" w:w="90"/>
              <w:bottom w:type="dxa" w:w="60"/>
              <w:right w:type="dxa" w:w="90"/>
            </w:tcMar>
            <w:vAlign w:val="center"/>
          </w:tcPr>
          <w:p>
            <w:pPr>
              <w:jc w:val="right"/>
            </w:pPr>
            <w:r>
              <w:rPr>
                <w:rFonts w:ascii="Calibri" w:cs="Calibri" w:eastAsia="Calibri" w:hAnsi="Calibri"/>
                <w:b/>
                <w:bCs/>
                <w:color w:val="000000"/>
                <w:sz w:val="19"/>
                <w:szCs w:val="19"/>
              </w:rPr>
              <w:t xml:space="preserve">14.0%</w:t>
            </w:r>
          </w:p>
        </w:tc>
      </w:tr>
      <w:tr>
        <w:tc>
          <w:tcPr>
            <w:tcW w:type="dxa" w:w="7248"/>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Actual change in CET1 ratio</w:t>
            </w:r>
          </w:p>
        </w:tc>
        <w:tc>
          <w:tcPr>
            <w:tcW w:type="dxa" w:w="2400"/>
            <w:tcMar>
              <w:top w:type="dxa" w:w="60"/>
              <w:left w:type="dxa" w:w="90"/>
              <w:bottom w:type="dxa" w:w="60"/>
              <w:right w:type="dxa" w:w="90"/>
            </w:tcMar>
            <w:vAlign w:val="center"/>
          </w:tcPr>
          <w:p>
            <w:pPr>
              <w:jc w:val="right"/>
            </w:pPr>
            <w:r>
              <w:rPr>
                <w:rFonts w:ascii="Calibri" w:cs="Calibri" w:eastAsia="Calibri" w:hAnsi="Calibri"/>
                <w:b/>
                <w:bCs/>
                <w:color w:val="000000"/>
                <w:sz w:val="19"/>
                <w:szCs w:val="19"/>
              </w:rPr>
              <w:t xml:space="preserve">+0.5 pts</w:t>
            </w:r>
          </w:p>
        </w:tc>
      </w:tr>
    </w:tbl>
    <w:p>
      <w:pPr>
        <w:spacing w:after="140" w:line="276"/>
      </w:pPr>
      <w:r>
        <w:rPr>
          <w:rFonts w:ascii="Calibri" w:cs="Calibri" w:eastAsia="Calibri" w:hAnsi="Calibri"/>
          <w:i w:val="false"/>
          <w:iCs w:val="false"/>
          <w:sz w:val="21"/>
          <w:szCs w:val="21"/>
        </w:rPr>
        <w:t xml:space="preserve">This is a structurally important point for the Committee: a comparably sized cash- or debt-funded acquisition of DFS would likely have pressured COF's capital ratios meaningfully lower, potentially triggering a more constrained approval posture from the Federal Reserve and OCC, or requiring COF to suspend its share buyback program for an extended period. The all-stock structure avoided that pressure and, in our view, was a material contributor to the deal ultimately clearing regulatory review without a materially larger capital-build condition attached. We do not have visibility into the full actual RWA/capital-action bridge underlying Part B's 0.5-point improvement (share buyback pauses and other capital actions are not disclosed at that level of granularity), so we present it as a reported fact rather than a reconstructed bridge.</w:t>
      </w:r>
    </w:p>
    <w:p>
      <w:r>
        <w:br w:type="page"/>
      </w:r>
    </w:p>
    <w:p>
      <w:pPr>
        <w:pStyle w:val="Heading1"/>
        <w:pBdr>
          <w:bottom w:val="single" w:color="1F3864" w:sz="8" w:space="4"/>
        </w:pBdr>
        <w:spacing w:after="140" w:before="320"/>
      </w:pPr>
      <w:r>
        <w:rPr>
          <w:rFonts w:ascii="Calibri" w:cs="Calibri" w:eastAsia="Calibri" w:hAnsi="Calibri"/>
          <w:b/>
          <w:bCs/>
          <w:color w:val="1F3864"/>
          <w:sz w:val="26"/>
          <w:szCs w:val="26"/>
        </w:rPr>
        <w:t xml:space="preserve">8.  Regulatory Risk Assessment</w:t>
      </w:r>
    </w:p>
    <w:p>
      <w:pPr>
        <w:spacing w:after="140" w:line="276"/>
      </w:pPr>
      <w:r>
        <w:rPr>
          <w:rFonts w:ascii="Calibri" w:cs="Calibri" w:eastAsia="Calibri" w:hAnsi="Calibri"/>
          <w:sz w:val="21"/>
          <w:szCs w:val="21"/>
        </w:rPr>
        <w:t xml:space="preserve">The transaction required approval from the Federal Reserve, the OCC, and the Delaware State Bank Commissioner, plus DOJ antitrust clearance. Regulatory approval was obtained approximately 14 months after announcement, with closing following roughly a month after that, materially longer than a typical regional bank merger given the deal's size and the unusual payment-network dimension. All approvals were ultimately obtained, and DOJ did not formally challenge the transaction despite public opposition from several U.S. senators and consumer advocacy groups.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6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Risk Category</w:t>
            </w:r>
          </w:p>
        </w:tc>
        <w:tc>
          <w:tcPr>
            <w:tcW w:type="dxa" w:w="52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Assessment</w:t>
            </w:r>
          </w:p>
        </w:tc>
        <w:tc>
          <w:tcPr>
            <w:tcW w:type="dxa" w:w="14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Score (L×I)</w:t>
            </w:r>
          </w:p>
        </w:tc>
        <w:tc>
          <w:tcPr>
            <w:tcW w:type="dxa" w:w="14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Status</w:t>
            </w:r>
          </w:p>
        </w:tc>
      </w:tr>
      <w:tr>
        <w:tc>
          <w:tcPr>
            <w:tcW w:type="dxa" w:w="26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Antitrust / market concentration</w:t>
            </w:r>
          </w:p>
        </w:tc>
        <w:tc>
          <w:tcPr>
            <w:tcW w:type="dxa" w:w="52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DOJ review of combined card-issuing and network share; consumer advocates urged a block.</w:t>
            </w:r>
          </w:p>
        </w:tc>
        <w:tc>
          <w:tcPr>
            <w:tcW w:type="dxa" w:w="1400"/>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12</w:t>
            </w:r>
          </w:p>
        </w:tc>
        <w:tc>
          <w:tcPr>
            <w:tcW w:type="dxa" w:w="1400"/>
            <w:tcMar>
              <w:top w:type="dxa" w:w="60"/>
              <w:left w:type="dxa" w:w="90"/>
              <w:bottom w:type="dxa" w:w="60"/>
              <w:right w:type="dxa" w:w="90"/>
            </w:tcMar>
            <w:vAlign w:val="center"/>
          </w:tcPr>
          <w:p>
            <w:pPr>
              <w:jc w:val="center"/>
            </w:pPr>
            <w:r>
              <w:rPr>
                <w:rFonts w:ascii="Calibri" w:cs="Calibri" w:eastAsia="Calibri" w:hAnsi="Calibri"/>
                <w:b/>
                <w:bCs/>
                <w:color w:val="548235"/>
                <w:sz w:val="19"/>
                <w:szCs w:val="19"/>
              </w:rPr>
              <w:t xml:space="preserve">Resolved</w:t>
            </w:r>
          </w:p>
        </w:tc>
      </w:tr>
      <w:tr>
        <w:tc>
          <w:tcPr>
            <w:tcW w:type="dxa" w:w="26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Fed / OCC systemic review</w:t>
            </w:r>
          </w:p>
        </w:tc>
        <w:tc>
          <w:tcPr>
            <w:tcW w:type="dxa" w:w="52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Bank Merger Act review incl. a public OCC hearing given deal size (147 witnesses).</w:t>
            </w:r>
          </w:p>
        </w:tc>
        <w:tc>
          <w:tcPr>
            <w:tcW w:type="dxa" w:w="1400"/>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15</w:t>
            </w:r>
          </w:p>
        </w:tc>
        <w:tc>
          <w:tcPr>
            <w:tcW w:type="dxa" w:w="1400"/>
            <w:tcMar>
              <w:top w:type="dxa" w:w="60"/>
              <w:left w:type="dxa" w:w="90"/>
              <w:bottom w:type="dxa" w:w="60"/>
              <w:right w:type="dxa" w:w="90"/>
            </w:tcMar>
            <w:vAlign w:val="center"/>
          </w:tcPr>
          <w:p>
            <w:pPr>
              <w:jc w:val="center"/>
            </w:pPr>
            <w:r>
              <w:rPr>
                <w:rFonts w:ascii="Calibri" w:cs="Calibri" w:eastAsia="Calibri" w:hAnsi="Calibri"/>
                <w:b/>
                <w:bCs/>
                <w:color w:val="548235"/>
                <w:sz w:val="19"/>
                <w:szCs w:val="19"/>
              </w:rPr>
              <w:t xml:space="preserve">Resolved</w:t>
            </w:r>
          </w:p>
        </w:tc>
      </w:tr>
      <w:tr>
        <w:tc>
          <w:tcPr>
            <w:tcW w:type="dxa" w:w="26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CRA / community commitments</w:t>
            </w:r>
          </w:p>
        </w:tc>
        <w:tc>
          <w:tcPr>
            <w:tcW w:type="dxa" w:w="52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$265bn, 5-year community benefits plan announced during the regulatory review process.</w:t>
            </w:r>
          </w:p>
        </w:tc>
        <w:tc>
          <w:tcPr>
            <w:tcW w:type="dxa" w:w="1400"/>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8</w:t>
            </w:r>
          </w:p>
        </w:tc>
        <w:tc>
          <w:tcPr>
            <w:tcW w:type="dxa" w:w="1400"/>
            <w:tcMar>
              <w:top w:type="dxa" w:w="60"/>
              <w:left w:type="dxa" w:w="90"/>
              <w:bottom w:type="dxa" w:w="60"/>
              <w:right w:type="dxa" w:w="90"/>
            </w:tcMar>
            <w:vAlign w:val="center"/>
          </w:tcPr>
          <w:p>
            <w:pPr>
              <w:jc w:val="center"/>
            </w:pPr>
            <w:r>
              <w:rPr>
                <w:rFonts w:ascii="Calibri" w:cs="Calibri" w:eastAsia="Calibri" w:hAnsi="Calibri"/>
                <w:b/>
                <w:bCs/>
                <w:color w:val="548235"/>
                <w:sz w:val="19"/>
                <w:szCs w:val="19"/>
              </w:rPr>
              <w:t xml:space="preserve">Resolved</w:t>
            </w:r>
          </w:p>
        </w:tc>
      </w:tr>
      <w:tr>
        <w:tc>
          <w:tcPr>
            <w:tcW w:type="dxa" w:w="26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Consumer litigation overhang</w:t>
            </w:r>
          </w:p>
        </w:tc>
        <w:tc>
          <w:tcPr>
            <w:tcW w:type="dxa" w:w="52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$425mm settlement of a legacy COF savings-rate matter; antitrust class action remained pending at close.</w:t>
            </w:r>
          </w:p>
        </w:tc>
        <w:tc>
          <w:tcPr>
            <w:tcW w:type="dxa" w:w="1400"/>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6</w:t>
            </w:r>
          </w:p>
        </w:tc>
        <w:tc>
          <w:tcPr>
            <w:tcW w:type="dxa" w:w="1400"/>
            <w:tcMar>
              <w:top w:type="dxa" w:w="60"/>
              <w:left w:type="dxa" w:w="90"/>
              <w:bottom w:type="dxa" w:w="60"/>
              <w:right w:type="dxa" w:w="90"/>
            </w:tcMar>
            <w:vAlign w:val="center"/>
          </w:tcPr>
          <w:p>
            <w:pPr>
              <w:jc w:val="center"/>
            </w:pPr>
            <w:r>
              <w:rPr>
                <w:rFonts w:ascii="Calibri" w:cs="Calibri" w:eastAsia="Calibri" w:hAnsi="Calibri"/>
                <w:b/>
                <w:bCs/>
                <w:color w:val="BF8F00"/>
                <w:sz w:val="19"/>
                <w:szCs w:val="19"/>
              </w:rPr>
              <w:t xml:space="preserve">Partially resolved</w:t>
            </w:r>
          </w:p>
        </w:tc>
      </w:tr>
      <w:tr>
        <w:tc>
          <w:tcPr>
            <w:tcW w:type="dxa" w:w="26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DFS pre-existing compliance issues</w:t>
            </w:r>
          </w:p>
        </w:tc>
        <w:tc>
          <w:tcPr>
            <w:tcW w:type="dxa" w:w="5200"/>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Card-tier misclassification matter and related scrutiny predating the deal.</w:t>
            </w:r>
          </w:p>
        </w:tc>
        <w:tc>
          <w:tcPr>
            <w:tcW w:type="dxa" w:w="1400"/>
            <w:tcMar>
              <w:top w:type="dxa" w:w="60"/>
              <w:left w:type="dxa" w:w="90"/>
              <w:bottom w:type="dxa" w:w="60"/>
              <w:right w:type="dxa" w:w="90"/>
            </w:tcMar>
            <w:vAlign w:val="center"/>
          </w:tcPr>
          <w:p>
            <w:pPr>
              <w:jc w:val="center"/>
            </w:pPr>
            <w:r>
              <w:rPr>
                <w:rFonts w:ascii="Calibri" w:cs="Calibri" w:eastAsia="Calibri" w:hAnsi="Calibri"/>
                <w:b w:val="false"/>
                <w:bCs w:val="false"/>
                <w:color w:val="000000"/>
                <w:sz w:val="19"/>
                <w:szCs w:val="19"/>
              </w:rPr>
              <w:t xml:space="preserve">9</w:t>
            </w:r>
          </w:p>
        </w:tc>
        <w:tc>
          <w:tcPr>
            <w:tcW w:type="dxa" w:w="1400"/>
            <w:tcMar>
              <w:top w:type="dxa" w:w="60"/>
              <w:left w:type="dxa" w:w="90"/>
              <w:bottom w:type="dxa" w:w="60"/>
              <w:right w:type="dxa" w:w="90"/>
            </w:tcMar>
            <w:vAlign w:val="center"/>
          </w:tcPr>
          <w:p>
            <w:pPr>
              <w:jc w:val="center"/>
            </w:pPr>
            <w:r>
              <w:rPr>
                <w:rFonts w:ascii="Calibri" w:cs="Calibri" w:eastAsia="Calibri" w:hAnsi="Calibri"/>
                <w:b/>
                <w:bCs/>
                <w:color w:val="BF8F00"/>
                <w:sz w:val="19"/>
                <w:szCs w:val="19"/>
              </w:rPr>
              <w:t xml:space="preserve">Mitigated at diligence</w:t>
            </w:r>
          </w:p>
        </w:tc>
      </w:tr>
    </w:tbl>
    <w:p>
      <w:pPr>
        <w:spacing w:after="160"/>
      </w:pPr>
      <w:r>
        <w:rPr>
          <w:rFonts w:ascii="Calibri" w:cs="Calibri" w:eastAsia="Calibri" w:hAnsi="Calibri"/>
          <w:i/>
          <w:iCs/>
          <w:color w:val="808080"/>
          <w:sz w:val="16"/>
          <w:szCs w:val="16"/>
        </w:rPr>
        <w:t xml:space="preserve">Scoring: Likelihood x Impact, both 1-5 scale, as of announcement (retrospectively marked "Resolved" where the actual outcome is now known). Full 10-item register in companion model, 'Regulatory &amp; Credit Risk' tab.</w:t>
      </w:r>
    </w:p>
    <w:p>
      <w:pPr>
        <w:pStyle w:val="Heading2"/>
        <w:spacing w:after="100" w:before="220"/>
      </w:pPr>
      <w:r>
        <w:rPr>
          <w:rFonts w:ascii="Calibri" w:cs="Calibri" w:eastAsia="Calibri" w:hAnsi="Calibri"/>
          <w:b/>
          <w:bCs/>
          <w:color w:val="2E4E8C"/>
          <w:sz w:val="22"/>
          <w:szCs w:val="22"/>
        </w:rPr>
        <w:t xml:space="preserve">8.1  What ultimately de-risked approval</w:t>
      </w:r>
    </w:p>
    <w:p>
      <w:pPr>
        <w:pStyle w:val="ListParagraph"/>
        <w:numPr>
          <w:ilvl w:val="0"/>
          <w:numId w:val="2"/>
        </w:numPr>
        <w:spacing w:after="80" w:line="270"/>
      </w:pPr>
      <w:r>
        <w:rPr>
          <w:rFonts w:ascii="Calibri" w:cs="Calibri" w:eastAsia="Calibri" w:hAnsi="Calibri"/>
          <w:sz w:val="21"/>
          <w:szCs w:val="21"/>
        </w:rPr>
        <w:t xml:space="preserve">A $265 billion, five-year community benefits plan, announced during the review process (July 2024), became an important component of the transaction's community commitments and was widely viewed as reducing friction with community groups and regulators — though we have not identified a source establishing it as a formal, legally-binding condition of approval.</w:t>
      </w:r>
    </w:p>
    <w:p>
      <w:pPr>
        <w:pStyle w:val="ListParagraph"/>
        <w:numPr>
          <w:ilvl w:val="0"/>
          <w:numId w:val="2"/>
        </w:numPr>
        <w:spacing w:after="80" w:line="270"/>
      </w:pPr>
      <w:r>
        <w:rPr>
          <w:rFonts w:ascii="Calibri" w:cs="Calibri" w:eastAsia="Calibri" w:hAnsi="Calibri"/>
          <w:sz w:val="21"/>
          <w:szCs w:val="21"/>
        </w:rPr>
        <w:t xml:space="preserve">The all-stock structure, which avoided the capital drain a cash- or debt-funded deal would have created, meant regulators were not being asked to approve a deal that would weaken the combined bank's safety-and-soundness profile.</w:t>
      </w:r>
    </w:p>
    <w:p>
      <w:pPr>
        <w:pStyle w:val="ListParagraph"/>
        <w:numPr>
          <w:ilvl w:val="0"/>
          <w:numId w:val="2"/>
        </w:numPr>
        <w:spacing w:after="80" w:line="270"/>
      </w:pPr>
      <w:r>
        <w:rPr>
          <w:rFonts w:ascii="Calibri" w:cs="Calibri" w:eastAsia="Calibri" w:hAnsi="Calibri"/>
          <w:sz w:val="21"/>
          <w:szCs w:val="21"/>
        </w:rPr>
        <w:t xml:space="preserve">COF's proactive settlement of the legacy savings-rate litigation removed a distracting, though financially modest, overhang shortly before the vote.</w:t>
      </w:r>
    </w:p>
    <w:p>
      <w:pPr>
        <w:pStyle w:val="Heading2"/>
        <w:spacing w:after="100" w:before="220"/>
      </w:pPr>
      <w:r>
        <w:rPr>
          <w:rFonts w:ascii="Calibri" w:cs="Calibri" w:eastAsia="Calibri" w:hAnsi="Calibri"/>
          <w:b/>
          <w:bCs/>
          <w:color w:val="2E4E8C"/>
          <w:sz w:val="22"/>
          <w:szCs w:val="22"/>
        </w:rPr>
        <w:t xml:space="preserve">8.2  Residual regulatory considerations</w:t>
      </w:r>
    </w:p>
    <w:p>
      <w:pPr>
        <w:spacing w:after="140" w:line="276"/>
      </w:pPr>
      <w:r>
        <w:rPr>
          <w:rFonts w:ascii="Calibri" w:cs="Calibri" w:eastAsia="Calibri" w:hAnsi="Calibri"/>
          <w:sz w:val="21"/>
          <w:szCs w:val="21"/>
        </w:rPr>
        <w:t xml:space="preserve">Approval is not the end of regulatory engagement: the Fed and OCC's conditional approval typically carries ongoing supervisory commitments (technology integration milestones, compliance program integration, and continued community-benefit reporting) that the Committee should expect to see referenced in COF's subsequent regulatory filings and should not assume are purely historical.</w:t>
      </w:r>
    </w:p>
    <w:p>
      <w:r>
        <w:br w:type="page"/>
      </w:r>
    </w:p>
    <w:p>
      <w:pPr>
        <w:pStyle w:val="Heading1"/>
        <w:pBdr>
          <w:bottom w:val="single" w:color="1F3864" w:sz="8" w:space="4"/>
        </w:pBdr>
        <w:spacing w:after="140" w:before="320"/>
      </w:pPr>
      <w:r>
        <w:rPr>
          <w:rFonts w:ascii="Calibri" w:cs="Calibri" w:eastAsia="Calibri" w:hAnsi="Calibri"/>
          <w:b/>
          <w:bCs/>
          <w:color w:val="1F3864"/>
          <w:sz w:val="26"/>
          <w:szCs w:val="26"/>
        </w:rPr>
        <w:t xml:space="preserve">9.  Credit Concentration Risk</w:t>
      </w:r>
    </w:p>
    <w:p>
      <w:pPr>
        <w:spacing w:after="140" w:line="276"/>
      </w:pPr>
      <w:r>
        <w:rPr>
          <w:rFonts w:ascii="Calibri" w:cs="Calibri" w:eastAsia="Calibri" w:hAnsi="Calibri"/>
          <w:sz w:val="21"/>
          <w:szCs w:val="21"/>
        </w:rPr>
        <w:t xml:space="preserve">This is the risk we believe most warrants ongoing Committee attention, precisely because it is not an approval-conditioned or one-time item but rather a permanent structural feature of the combined balance sheet. Both COF and DFS are, at their core, unsecured consumer lenders; the combination concentrates rather than diversifies the combined firm's earnings and credit-loss exposure into a single, cyclical asset class at a scale exceeding $250 billion of card receivables.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4200"/>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Metric</w:t>
            </w:r>
          </w:p>
        </w:tc>
        <w:tc>
          <w:tcPr>
            <w:tcW w:type="dxa" w:w="20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Value</w:t>
            </w:r>
          </w:p>
        </w:tc>
        <w:tc>
          <w:tcPr>
            <w:tcW w:type="dxa" w:w="3448"/>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Context</w:t>
            </w:r>
          </w:p>
        </w:tc>
      </w:tr>
      <w:tr>
        <w:tc>
          <w:tcPr>
            <w:tcW w:type="dxa" w:w="42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COF domestic card receivables, FY2023A</w:t>
            </w:r>
          </w:p>
        </w:tc>
        <w:tc>
          <w:tcPr>
            <w:tcW w:type="dxa" w:w="2000"/>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~$150bn</w:t>
            </w:r>
          </w:p>
        </w:tc>
        <w:tc>
          <w:tcPr>
            <w:tcW w:type="dxa" w:w="3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Grew steadily through 2023 as consumer revolving balances normalized post-pandemic.</w:t>
            </w:r>
          </w:p>
        </w:tc>
      </w:tr>
      <w:tr>
        <w:tc>
          <w:tcPr>
            <w:tcW w:type="dxa" w:w="42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DFS card receivables, FY2023A</w:t>
            </w:r>
          </w:p>
        </w:tc>
        <w:tc>
          <w:tcPr>
            <w:tcW w:type="dxa" w:w="2000"/>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~$102bn (+13% YoY)</w:t>
            </w:r>
          </w:p>
        </w:tc>
        <w:tc>
          <w:tcPr>
            <w:tcW w:type="dxa" w:w="3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Elevated growth rate itself a flag management and regulators scrutinized pre-deal.</w:t>
            </w:r>
          </w:p>
        </w:tc>
      </w:tr>
      <w:tr>
        <w:tc>
          <w:tcPr>
            <w:tcW w:type="dxa" w:w="42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Pro forma combined card receivables</w:t>
            </w:r>
          </w:p>
        </w:tc>
        <w:tc>
          <w:tcPr>
            <w:tcW w:type="dxa" w:w="2000"/>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~$250bn+</w:t>
            </w:r>
          </w:p>
        </w:tc>
        <w:tc>
          <w:tcPr>
            <w:tcW w:type="dxa" w:w="3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Makes the combined entity one of the largest U.S. card issuers by receivables outstanding.</w:t>
            </w:r>
          </w:p>
        </w:tc>
      </w:tr>
      <w:tr>
        <w:tc>
          <w:tcPr>
            <w:tcW w:type="dxa" w:w="42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DFS FY2023 provision for credit losses</w:t>
            </w:r>
          </w:p>
        </w:tc>
        <w:tc>
          <w:tcPr>
            <w:tcW w:type="dxa" w:w="2000"/>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$6.0bn</w:t>
            </w:r>
          </w:p>
        </w:tc>
        <w:tc>
          <w:tcPr>
            <w:tcW w:type="dxa" w:w="3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More than doubled year-over-year against $2.9bn of net income — a meaningful pre-deal credit-normalization signal.</w:t>
            </w:r>
          </w:p>
        </w:tc>
      </w:tr>
      <w:tr>
        <w:tc>
          <w:tcPr>
            <w:tcW w:type="dxa" w:w="42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COF FY2023 provision for credit losses</w:t>
            </w:r>
          </w:p>
        </w:tc>
        <w:tc>
          <w:tcPr>
            <w:tcW w:type="dxa" w:w="2000"/>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$10.4bn (+78% YoY)</w:t>
            </w:r>
          </w:p>
        </w:tc>
        <w:tc>
          <w:tcPr>
            <w:tcW w:type="dxa" w:w="3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Reflects broad-based consumer credit normalization industry-wide, not a DFS-specific issue.</w:t>
            </w:r>
          </w:p>
        </w:tc>
      </w:tr>
      <w:tr>
        <w:tc>
          <w:tcPr>
            <w:tcW w:type="dxa" w:w="4200"/>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Day-1 CECL allowance build (non-PCD)</w:t>
            </w:r>
          </w:p>
        </w:tc>
        <w:tc>
          <w:tcPr>
            <w:tcW w:type="dxa" w:w="2000"/>
            <w:tcMar>
              <w:top w:type="dxa" w:w="60"/>
              <w:left w:type="dxa" w:w="90"/>
              <w:bottom w:type="dxa" w:w="60"/>
              <w:right w:type="dxa" w:w="90"/>
            </w:tcMar>
            <w:vAlign w:val="center"/>
          </w:tcPr>
          <w:p>
            <w:pPr>
              <w:jc w:val="center"/>
            </w:pPr>
            <w:r>
              <w:rPr>
                <w:rFonts w:ascii="Calibri" w:cs="Calibri" w:eastAsia="Calibri" w:hAnsi="Calibri"/>
                <w:b/>
                <w:bCs/>
                <w:color w:val="000000"/>
                <w:sz w:val="19"/>
                <w:szCs w:val="19"/>
              </w:rPr>
              <w:t xml:space="preserve">$8.8bn pre-tax</w:t>
            </w:r>
          </w:p>
        </w:tc>
        <w:tc>
          <w:tcPr>
            <w:tcW w:type="dxa" w:w="3448"/>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One-time, non-cash; front-loads reserve coverage on the acquired book (see Section 5).</w:t>
            </w:r>
          </w:p>
        </w:tc>
      </w:tr>
    </w:tbl>
    <w:p>
      <w:pPr>
        <w:pStyle w:val="Heading2"/>
        <w:spacing w:after="100" w:before="220"/>
      </w:pPr>
      <w:r>
        <w:rPr>
          <w:rFonts w:ascii="Calibri" w:cs="Calibri" w:eastAsia="Calibri" w:hAnsi="Calibri"/>
          <w:b/>
          <w:bCs/>
          <w:color w:val="2E4E8C"/>
          <w:sz w:val="22"/>
          <w:szCs w:val="22"/>
        </w:rPr>
        <w:t xml:space="preserve">9.1  Why this is manageable rather than disqualifying</w:t>
      </w:r>
    </w:p>
    <w:p>
      <w:pPr>
        <w:pStyle w:val="ListParagraph"/>
        <w:numPr>
          <w:ilvl w:val="0"/>
          <w:numId w:val="2"/>
        </w:numPr>
        <w:spacing w:after="80" w:line="270"/>
      </w:pPr>
      <w:r>
        <w:rPr>
          <w:rFonts w:ascii="Calibri" w:cs="Calibri" w:eastAsia="Calibri" w:hAnsi="Calibri"/>
          <w:sz w:val="21"/>
          <w:szCs w:val="21"/>
        </w:rPr>
        <w:t xml:space="preserve">The $8.8bn day-1 non-PCD CECL allowance build (plus a separate $2.9bn PCD allowance) materially front-loads loss reserves on the acquired book relative to an unreserved bolt-on acquisition, reducing the risk of under-reserved surprises in the first several years post-close.</w:t>
      </w:r>
    </w:p>
    <w:p>
      <w:pPr>
        <w:pStyle w:val="ListParagraph"/>
        <w:numPr>
          <w:ilvl w:val="0"/>
          <w:numId w:val="2"/>
        </w:numPr>
        <w:spacing w:after="80" w:line="270"/>
      </w:pPr>
      <w:r>
        <w:rPr>
          <w:rFonts w:ascii="Calibri" w:cs="Calibri" w:eastAsia="Calibri" w:hAnsi="Calibri"/>
          <w:sz w:val="21"/>
          <w:szCs w:val="21"/>
        </w:rPr>
        <w:t xml:space="preserve">The deal's all-stock structure (Section 7) left the combined entity with a stronger starting capital position than a cash- or debt-funded alternative would have, with actual CET1 rising to 14.0% at close from 13.5% pre-close, providing a larger buffer against a credit downturn.</w:t>
      </w:r>
    </w:p>
    <w:p>
      <w:pPr>
        <w:pStyle w:val="ListParagraph"/>
        <w:numPr>
          <w:ilvl w:val="0"/>
          <w:numId w:val="2"/>
        </w:numPr>
        <w:spacing w:after="80" w:line="270"/>
      </w:pPr>
      <w:r>
        <w:rPr>
          <w:rFonts w:ascii="Calibri" w:cs="Calibri" w:eastAsia="Calibri" w:hAnsi="Calibri"/>
          <w:sz w:val="21"/>
          <w:szCs w:val="21"/>
        </w:rPr>
        <w:t xml:space="preserve">DFS's direct-to-consumer deposit franchise is a genuine funding diversification benefit that partially offsets the asset-side concentration, meaning the combined firm becomes more concentrated in what it lends against but not necessarily in how it funds itself.</w:t>
      </w:r>
    </w:p>
    <w:p>
      <w:pPr>
        <w:pStyle w:val="Heading2"/>
        <w:spacing w:after="100" w:before="220"/>
      </w:pPr>
      <w:r>
        <w:rPr>
          <w:rFonts w:ascii="Calibri" w:cs="Calibri" w:eastAsia="Calibri" w:hAnsi="Calibri"/>
          <w:b/>
          <w:bCs/>
          <w:color w:val="2E4E8C"/>
          <w:sz w:val="22"/>
          <w:szCs w:val="22"/>
        </w:rPr>
        <w:t xml:space="preserve">9.2  What we recommend monitoring</w:t>
      </w:r>
    </w:p>
    <w:p>
      <w:pPr>
        <w:pStyle w:val="ListParagraph"/>
        <w:numPr>
          <w:ilvl w:val="0"/>
          <w:numId w:val="2"/>
        </w:numPr>
        <w:spacing w:after="80" w:line="270"/>
      </w:pPr>
      <w:r>
        <w:rPr>
          <w:rFonts w:ascii="Calibri" w:cs="Calibri" w:eastAsia="Calibri" w:hAnsi="Calibri"/>
          <w:sz w:val="21"/>
          <w:szCs w:val="21"/>
        </w:rPr>
        <w:t xml:space="preserve">Combined net charge-off and 30/90-day delinquency trends each quarter, tracked separately for the legacy COF and legacy DFS books until full integration, to catch divergent credit performance early.</w:t>
      </w:r>
    </w:p>
    <w:p>
      <w:pPr>
        <w:pStyle w:val="ListParagraph"/>
        <w:numPr>
          <w:ilvl w:val="0"/>
          <w:numId w:val="2"/>
        </w:numPr>
        <w:spacing w:after="80" w:line="270"/>
      </w:pPr>
      <w:r>
        <w:rPr>
          <w:rFonts w:ascii="Calibri" w:cs="Calibri" w:eastAsia="Calibri" w:hAnsi="Calibri"/>
          <w:sz w:val="21"/>
          <w:szCs w:val="21"/>
        </w:rPr>
        <w:t xml:space="preserve">Realized network-synergy volume migration (Section 4.2), since a shortfall there would remove one of the few genuine diversification benefits (deposit franchise aside) without reducing the credit concentration that the deal creates.</w:t>
      </w:r>
    </w:p>
    <w:p>
      <w:pPr>
        <w:pStyle w:val="ListParagraph"/>
        <w:numPr>
          <w:ilvl w:val="0"/>
          <w:numId w:val="2"/>
        </w:numPr>
        <w:spacing w:after="80" w:line="270"/>
      </w:pPr>
      <w:r>
        <w:rPr>
          <w:rFonts w:ascii="Calibri" w:cs="Calibri" w:eastAsia="Calibri" w:hAnsi="Calibri"/>
          <w:sz w:val="21"/>
          <w:szCs w:val="21"/>
        </w:rPr>
        <w:t xml:space="preserve">Macroeconomic indicators most correlated with card losses, including unemployment claims, revolving consumer credit utilization, and real wage growth, given both franchises' shared sensitivity to the same macro variables, which materially raises the correlation (and therefore the tail risk) of the combined loss experience relative to a diversified regional bank balance sheet.</w:t>
      </w:r>
    </w:p>
    <w:p>
      <w:r>
        <w:br w:type="page"/>
      </w:r>
    </w:p>
    <w:p>
      <w:pPr>
        <w:pStyle w:val="Heading1"/>
        <w:pBdr>
          <w:bottom w:val="single" w:color="1F3864" w:sz="8" w:space="4"/>
        </w:pBdr>
        <w:spacing w:after="140" w:before="320"/>
      </w:pPr>
      <w:r>
        <w:rPr>
          <w:rFonts w:ascii="Calibri" w:cs="Calibri" w:eastAsia="Calibri" w:hAnsi="Calibri"/>
          <w:b/>
          <w:bCs/>
          <w:color w:val="1F3864"/>
          <w:sz w:val="26"/>
          <w:szCs w:val="26"/>
        </w:rPr>
        <w:t xml:space="preserve">10.  Key Risks &amp; Mitigants — Summary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052"/>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Key Risk</w:t>
            </w:r>
          </w:p>
        </w:tc>
        <w:tc>
          <w:tcPr>
            <w:tcW w:type="dxa" w:w="5595"/>
            <w:shd w:fill="1F3864" w:val="clear"/>
            <w:tcMar>
              <w:top w:type="dxa" w:w="60"/>
              <w:left w:type="dxa" w:w="90"/>
              <w:bottom w:type="dxa" w:w="60"/>
              <w:right w:type="dxa" w:w="90"/>
            </w:tcMar>
            <w:vAlign w:val="center"/>
          </w:tcPr>
          <w:p>
            <w:pPr>
              <w:jc w:val="left"/>
            </w:pPr>
            <w:r>
              <w:rPr>
                <w:rFonts w:ascii="Calibri" w:cs="Calibri" w:eastAsia="Calibri" w:hAnsi="Calibri"/>
                <w:b/>
                <w:bCs/>
                <w:color w:val="FFFFFF"/>
                <w:sz w:val="19"/>
                <w:szCs w:val="19"/>
              </w:rPr>
              <w:t xml:space="preserve">Mitigant / Monitoring Plan</w:t>
            </w:r>
          </w:p>
        </w:tc>
      </w:tr>
      <w:tr>
        <w:tc>
          <w:tcPr>
            <w:tcW w:type="dxa" w:w="4052"/>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Credit concentration in unsecured consumer/card lending</w:t>
            </w:r>
          </w:p>
        </w:tc>
        <w:tc>
          <w:tcPr>
            <w:tcW w:type="dxa" w:w="5595"/>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Elevated day-1 reserving, stronger pro forma capital base, quarterly credit-metric tracking (Section 9.2).</w:t>
            </w:r>
          </w:p>
        </w:tc>
      </w:tr>
      <w:tr>
        <w:tc>
          <w:tcPr>
            <w:tcW w:type="dxa" w:w="4052"/>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Network-synergy execution (the least-precedented part of the deal)</w:t>
            </w:r>
          </w:p>
        </w:tc>
        <w:tc>
          <w:tcPr>
            <w:tcW w:type="dxa" w:w="5595"/>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Track volume migration and third-party routing growth as a standalone KPI, separate from cost synergies.</w:t>
            </w:r>
          </w:p>
        </w:tc>
      </w:tr>
      <w:tr>
        <w:tc>
          <w:tcPr>
            <w:tcW w:type="dxa" w:w="4052"/>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Integration costs tracking above original guidance</w:t>
            </w:r>
          </w:p>
        </w:tc>
        <w:tc>
          <w:tcPr>
            <w:tcW w:type="dxa" w:w="5595"/>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Sensitivity model (companion workbook) already stress-tests up to 2x guided cost; recommend quarterly re-forecast.</w:t>
            </w:r>
          </w:p>
        </w:tc>
      </w:tr>
      <w:tr>
        <w:tc>
          <w:tcPr>
            <w:tcW w:type="dxa" w:w="4052"/>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GAAP/adjusted EPS divergence causing headline confusion</w:t>
            </w:r>
          </w:p>
        </w:tc>
        <w:tc>
          <w:tcPr>
            <w:tcW w:type="dxa" w:w="5595"/>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Proactive investor and media communication of the non-PCD/PCD CECL allowance mechanics (Section 5.2).</w:t>
            </w:r>
          </w:p>
        </w:tc>
      </w:tr>
      <w:tr>
        <w:tc>
          <w:tcPr>
            <w:tcW w:type="dxa" w:w="4052"/>
            <w:tcMar>
              <w:top w:type="dxa" w:w="60"/>
              <w:left w:type="dxa" w:w="90"/>
              <w:bottom w:type="dxa" w:w="60"/>
              <w:right w:type="dxa" w:w="90"/>
            </w:tcMar>
            <w:vAlign w:val="center"/>
          </w:tcPr>
          <w:p>
            <w:pPr>
              <w:jc w:val="left"/>
            </w:pPr>
            <w:r>
              <w:rPr>
                <w:rFonts w:ascii="Calibri" w:cs="Calibri" w:eastAsia="Calibri" w:hAnsi="Calibri"/>
                <w:b/>
                <w:bCs/>
                <w:color w:val="000000"/>
                <w:sz w:val="19"/>
                <w:szCs w:val="19"/>
              </w:rPr>
              <w:t xml:space="preserve">Residual/pending consumer litigation</w:t>
            </w:r>
          </w:p>
        </w:tc>
        <w:tc>
          <w:tcPr>
            <w:tcW w:type="dxa" w:w="5595"/>
            <w:tcMar>
              <w:top w:type="dxa" w:w="60"/>
              <w:left w:type="dxa" w:w="90"/>
              <w:bottom w:type="dxa" w:w="60"/>
              <w:right w:type="dxa" w:w="90"/>
            </w:tcMar>
            <w:vAlign w:val="center"/>
          </w:tcPr>
          <w:p>
            <w:pPr>
              <w:jc w:val="left"/>
            </w:pPr>
            <w:r>
              <w:rPr>
                <w:rFonts w:ascii="Calibri" w:cs="Calibri" w:eastAsia="Calibri" w:hAnsi="Calibri"/>
                <w:b w:val="false"/>
                <w:bCs w:val="false"/>
                <w:color w:val="000000"/>
                <w:sz w:val="19"/>
                <w:szCs w:val="19"/>
              </w:rPr>
              <w:t xml:space="preserve">Monitor docket; financial exposure is modest relative to deal scale.</w:t>
            </w:r>
          </w:p>
        </w:tc>
      </w:tr>
    </w:tbl>
    <w:p>
      <w:pPr>
        <w:pStyle w:val="Heading1"/>
        <w:pBdr>
          <w:bottom w:val="single" w:color="1F3864" w:sz="8" w:space="4"/>
        </w:pBdr>
        <w:spacing w:after="140" w:before="320"/>
      </w:pPr>
      <w:r>
        <w:rPr>
          <w:rFonts w:ascii="Calibri" w:cs="Calibri" w:eastAsia="Calibri" w:hAnsi="Calibri"/>
          <w:b/>
          <w:bCs/>
          <w:color w:val="1F3864"/>
          <w:sz w:val="26"/>
          <w:szCs w:val="26"/>
        </w:rPr>
        <w:t xml:space="preserve">11.  Recommendation</w:t>
      </w:r>
    </w:p>
    <w:p>
      <w:pPr>
        <w:spacing w:after="140" w:line="276"/>
      </w:pPr>
      <w:r>
        <w:rPr>
          <w:rFonts w:ascii="Calibri" w:cs="Calibri" w:eastAsia="Calibri" w:hAnsi="Calibri"/>
          <w:sz w:val="21"/>
          <w:szCs w:val="21"/>
        </w:rPr>
        <w:t xml:space="preserve">We recommend the Investment Committee SUPPORT this transaction on the terms negotiated. The strategic rationale, namely vertical integration of card issuance with network ownership, funded through an all-stock structure that avoided the capital pressure a cash or debt deal would have created, at a premium consistent with a control transaction, is sound, and the deal's actual regulatory and financial outcomes have tracked closely to what a well-underwritten base case would have predicted at signing:</w:t>
      </w:r>
    </w:p>
    <w:p>
      <w:pPr>
        <w:pStyle w:val="ListParagraph"/>
        <w:numPr>
          <w:ilvl w:val="0"/>
          <w:numId w:val="2"/>
        </w:numPr>
        <w:spacing w:after="80" w:line="270"/>
      </w:pPr>
      <w:r>
        <w:rPr>
          <w:rFonts w:ascii="Calibri" w:cs="Calibri" w:eastAsia="Calibri" w:hAnsi="Calibri"/>
          <w:sz w:val="21"/>
          <w:szCs w:val="21"/>
        </w:rPr>
        <w:t xml:space="preserve">Premium (26.6%) and ownership split (~60/40) are exactly as negotiated.</w:t>
      </w:r>
    </w:p>
    <w:p>
      <w:pPr>
        <w:pStyle w:val="ListParagraph"/>
        <w:numPr>
          <w:ilvl w:val="0"/>
          <w:numId w:val="2"/>
        </w:numPr>
        <w:spacing w:after="80" w:line="270"/>
      </w:pPr>
      <w:r>
        <w:rPr>
          <w:rFonts w:ascii="Calibri" w:cs="Calibri" w:eastAsia="Calibri" w:hAnsi="Calibri"/>
          <w:sz w:val="21"/>
          <w:szCs w:val="21"/>
        </w:rPr>
        <w:t xml:space="preserve">Pro forma CET1 (~14.0%) landed within a few tenths of a point of our modeled base case.</w:t>
      </w:r>
    </w:p>
    <w:p>
      <w:pPr>
        <w:pStyle w:val="ListParagraph"/>
        <w:numPr>
          <w:ilvl w:val="0"/>
          <w:numId w:val="2"/>
        </w:numPr>
        <w:spacing w:after="80" w:line="270"/>
      </w:pPr>
      <w:r>
        <w:rPr>
          <w:rFonts w:ascii="Calibri" w:cs="Calibri" w:eastAsia="Calibri" w:hAnsi="Calibri"/>
          <w:sz w:val="21"/>
          <w:szCs w:val="21"/>
        </w:rPr>
        <w:t xml:space="preserve">Adjusted EPS accretion is tracking to, or ahead of, management's own guidance; the GAAP dilution in the year of close is a well-understood, temporary purchase-accounting artifact rather than an economic problem.</w:t>
      </w:r>
    </w:p>
    <w:p>
      <w:pPr>
        <w:pStyle w:val="ListParagraph"/>
        <w:numPr>
          <w:ilvl w:val="0"/>
          <w:numId w:val="2"/>
        </w:numPr>
        <w:spacing w:after="80" w:line="270"/>
      </w:pPr>
      <w:r>
        <w:rPr>
          <w:rFonts w:ascii="Calibri" w:cs="Calibri" w:eastAsia="Calibri" w:hAnsi="Calibri"/>
          <w:sz w:val="21"/>
          <w:szCs w:val="21"/>
        </w:rPr>
        <w:t xml:space="preserve">Regulatory approval was obtained after a longer-than-typical review, roughly 14 months for approval and 15 months to closing, alongside a sizable but manageable community-benefits commitment.</w:t>
      </w:r>
    </w:p>
    <w:p>
      <w:pPr>
        <w:spacing w:after="140" w:line="276"/>
      </w:pPr>
      <w:r>
        <w:rPr>
          <w:rFonts w:ascii="Calibri" w:cs="Calibri" w:eastAsia="Calibri" w:hAnsi="Calibri"/>
          <w:b w:val="false"/>
          <w:bCs w:val="false"/>
          <w:sz w:val="21"/>
          <w:szCs w:val="21"/>
        </w:rPr>
        <w:t xml:space="preserve">The one area we flag as warranting continued, active oversight rather than a one-time diligence check-off is credit concentration: the combined entity is now more, not less, exposed to a downturn in unsecured consumer credit than either standalone institution was. We recommend the Committee request quarterly updates on (i) combined credit performance by legacy book, (ii) network-synergy realization specifically, and (iii) cumulative integration costs versus the original $2.8bn guidance, using the companion sensitivity model as the standing framework for that tracking.</w:t>
      </w:r>
    </w:p>
    <w:sectPr>
      <w:headerReference w:type="default" r:id="rId7"/>
      <w:footerReference w:type="default" r:id="rId8"/>
      <w:pgSz w:w="12240" w:h="15840" w:orient="portrait"/>
      <w:pgMar w:top="1296" w:right="1296" w:bottom="1296"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Page </w:t>
    </w:r>
    <w:r>
      <w:rPr>
        <w:rFonts w:ascii="Calibri" w:cs="Calibri" w:eastAsia="Calibri" w:hAnsi="Calibri"/>
        <w:color w:val="808080"/>
        <w:sz w:val="14"/>
        <w:szCs w:val="14"/>
      </w:rPr>
      <w:fldChar w:fldCharType="begin"/>
      <w:instrText xml:space="preserve">PAGE</w:instrText>
      <w:fldChar w:fldCharType="separate"/>
      <w:fldChar w:fldCharType="end"/>
    </w:r>
    <w:r>
      <w:rPr>
        <w:rFonts w:ascii="Calibri" w:cs="Calibri" w:eastAsia="Calibri" w:hAnsi="Calibri"/>
        <w:color w:val="808080"/>
        <w:sz w:val="14"/>
        <w:szCs w:val="14"/>
      </w:rPr>
      <w:t xml:space="preserve"> of </w:t>
    </w:r>
    <w:r>
      <w:rPr>
        <w:rFonts w:ascii="Calibri" w:cs="Calibri" w:eastAsia="Calibri" w:hAnsi="Calibri"/>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648"/>
      </w:tabs>
    </w:pPr>
    <w:r>
      <w:rPr>
        <w:rFonts w:ascii="Calibri" w:cs="Calibri" w:eastAsia="Calibri" w:hAnsi="Calibri"/>
        <w:color w:val="808080"/>
        <w:sz w:val="14"/>
        <w:szCs w:val="14"/>
      </w:rPr>
      <w:t xml:space="preserve">Project Compass — Capital One / Discover Investment Committee Memo</w:t>
    </w:r>
    <w:r>
      <w:rPr>
        <w:rFonts w:ascii="Calibri" w:cs="Calibri" w:eastAsia="Calibri" w:hAnsi="Calibri"/>
        <w:b/>
        <w:bCs/>
        <w:color w:val="808080"/>
        <w:sz w:val="14"/>
        <w:szCs w:val="14"/>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2026-09-10T20:02:53.109Z</dcterms:created>
  <dcterms:modified xsi:type="dcterms:W3CDTF">2026-09-10T20:02:53.109Z</dcterms:modified>
</cp:coreProperties>
</file>

<file path=docProps/custom.xml><?xml version="1.0" encoding="utf-8"?>
<Properties xmlns="http://schemas.openxmlformats.org/officeDocument/2006/custom-properties" xmlns:vt="http://schemas.openxmlformats.org/officeDocument/2006/docPropsVTypes"/>
</file>