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  <w:jc w:val="center"/>
      </w:pPr>
      <w:r>
        <w:rPr>
          <w:rFonts w:ascii="Times New Roman" w:hAnsi="Times New Roman"/>
          <w:b/>
          <w:color w:val="0F172A"/>
          <w:sz w:val="26"/>
        </w:rPr>
        <w:t>BCSE355L – CLOUD ARCHITECTURE DESIGN</w:t>
        <w:br/>
        <w:t>PROJECT DOCUMENTATION</w:t>
        <w:br/>
        <w:br/>
      </w:r>
      <w:r>
        <w:rPr>
          <w:rFonts w:ascii="Times New Roman" w:hAnsi="Times New Roman"/>
          <w:b/>
          <w:color w:val="0284C7"/>
          <w:sz w:val="32"/>
        </w:rPr>
        <w:t>PROJECT OBJECTIVES &amp; EXPECTED OUTCOMES</w:t>
        <w:br/>
      </w:r>
    </w:p>
    <w:p>
      <w:pPr>
        <w:spacing w:after="360" w:line="288" w:lineRule="auto"/>
        <w:jc w:val="center"/>
      </w:pPr>
      <w:r>
        <w:rPr>
          <w:rFonts w:ascii="Times New Roman" w:hAnsi="Times New Roman"/>
          <w:i/>
          <w:color w:val="475569"/>
          <w:sz w:val="21"/>
        </w:rPr>
        <w:t>Team: Arun Srinivas (21BCE0482), Bhavya Verma (21BCE0791), Mohit Gupta (21BCE0834)</w:t>
        <w:br/>
        <w:t>Guide: Dr. Priya V | Institution: Vellore Institute of Technology, Vellore</w:t>
        <w:br/>
        <w:t>Project: Cloud Resilience Assessment Framework for Smart Powergrid Systems using Multi-Agent AI</w:t>
      </w:r>
    </w:p>
    <w:p>
      <w:pPr>
        <w:spacing w:after="160" w:line="276" w:lineRule="auto"/>
        <w:jc w:val="left"/>
      </w:pPr>
      <w:r>
        <w:rPr>
          <w:rFonts w:ascii="Times New Roman" w:hAnsi="Times New Roman"/>
          <w:b/>
          <w:color w:val="0F172A"/>
          <w:sz w:val="32"/>
        </w:rPr>
        <w:t>1. Project Objectives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i w:val="0"/>
          <w:color w:val="1E293B"/>
          <w:sz w:val="24"/>
        </w:rPr>
        <w:t>The framework is engineered against five specific, measurable, achievable, and realistic technical objectives:</w:t>
      </w:r>
    </w:p>
    <w:p>
      <w:pPr>
        <w:pStyle w:val="ListBullet"/>
        <w:spacing w:after="80" w:line="300" w:lineRule="auto"/>
        <w:jc w:val="left"/>
      </w:pPr>
      <w:r>
        <w:rPr>
          <w:rFonts w:ascii="Times New Roman" w:hAnsi="Times New Roman"/>
          <w:b/>
          <w:color w:val="0F172A"/>
          <w:sz w:val="24"/>
        </w:rPr>
        <w:t xml:space="preserve">Objective 1 – </w:t>
      </w:r>
      <w:r>
        <w:rPr>
          <w:rFonts w:ascii="Times New Roman" w:hAnsi="Times New Roman"/>
          <w:color w:val="1E293B"/>
          <w:sz w:val="24"/>
        </w:rPr>
        <w:t>High-Throughput Streaming Telemetry Ingestion: Ingest 30–60 Hz PMU sensor data via AWS IoT Core (MQTT mTLS) and stream into Amazon Kinesis Data Streams with sub-50ms latency.</w:t>
      </w:r>
    </w:p>
    <w:p>
      <w:pPr>
        <w:pStyle w:val="ListBullet"/>
        <w:spacing w:after="80" w:line="300" w:lineRule="auto"/>
        <w:jc w:val="left"/>
      </w:pPr>
      <w:r>
        <w:rPr>
          <w:rFonts w:ascii="Times New Roman" w:hAnsi="Times New Roman"/>
          <w:b/>
          <w:color w:val="0F172A"/>
          <w:sz w:val="24"/>
        </w:rPr>
        <w:t xml:space="preserve">Objective 2 – </w:t>
      </w:r>
      <w:r>
        <w:rPr>
          <w:rFonts w:ascii="Times New Roman" w:hAnsi="Times New Roman"/>
          <w:color w:val="1E293B"/>
          <w:sz w:val="24"/>
        </w:rPr>
        <w:t>Decentralized Multi-Agent AI Anomaly Detection: Containerize an unsupervised Isolation Forest model (Agent 1) on AWS Fargate to detect cyber-physical anomalies within 200ms.</w:t>
      </w:r>
    </w:p>
    <w:p>
      <w:pPr>
        <w:pStyle w:val="ListBullet"/>
        <w:spacing w:after="80" w:line="300" w:lineRule="auto"/>
        <w:jc w:val="left"/>
      </w:pPr>
      <w:r>
        <w:rPr>
          <w:rFonts w:ascii="Times New Roman" w:hAnsi="Times New Roman"/>
          <w:b/>
          <w:color w:val="0F172A"/>
          <w:sz w:val="24"/>
        </w:rPr>
        <w:t xml:space="preserve">Objective 3 – </w:t>
      </w:r>
      <w:r>
        <w:rPr>
          <w:rFonts w:ascii="Times New Roman" w:hAnsi="Times New Roman"/>
          <w:color w:val="1E293B"/>
          <w:sz w:val="24"/>
        </w:rPr>
        <w:t>Autonomous Sub-Second Serverless Mitigation: Implement an event-driven 3-tier AWS Lambda engine (Agent 2: LOG, REROUTE, ISOLATE) with execution duration under 100ms.</w:t>
      </w:r>
    </w:p>
    <w:p>
      <w:pPr>
        <w:pStyle w:val="ListBullet"/>
        <w:spacing w:after="80" w:line="300" w:lineRule="auto"/>
        <w:jc w:val="left"/>
      </w:pPr>
      <w:r>
        <w:rPr>
          <w:rFonts w:ascii="Times New Roman" w:hAnsi="Times New Roman"/>
          <w:b/>
          <w:color w:val="0F172A"/>
          <w:sz w:val="24"/>
        </w:rPr>
        <w:t xml:space="preserve">Objective 4 – </w:t>
      </w:r>
      <w:r>
        <w:rPr>
          <w:rFonts w:ascii="Times New Roman" w:hAnsi="Times New Roman"/>
          <w:color w:val="1E293B"/>
          <w:sz w:val="24"/>
        </w:rPr>
        <w:t>Closed-Loop Dynamic Stability Verification: Deploy a supervised Random Forest classifier (Agent 3) on AWS Fargate to verify post-mitigation grid stability with &gt;95% accuracy.</w:t>
      </w:r>
    </w:p>
    <w:p>
      <w:pPr>
        <w:pStyle w:val="ListBullet"/>
        <w:spacing w:after="80" w:line="300" w:lineRule="auto"/>
        <w:jc w:val="left"/>
      </w:pPr>
      <w:r>
        <w:rPr>
          <w:rFonts w:ascii="Times New Roman" w:hAnsi="Times New Roman"/>
          <w:b/>
          <w:color w:val="0F172A"/>
          <w:sz w:val="24"/>
        </w:rPr>
        <w:t xml:space="preserve">Objective 5 – </w:t>
      </w:r>
      <w:r>
        <w:rPr>
          <w:rFonts w:ascii="Times New Roman" w:hAnsi="Times New Roman"/>
          <w:color w:val="1E293B"/>
          <w:sz w:val="24"/>
        </w:rPr>
        <w:t>Zero-Trust Enforcement &amp; Cloud Observability: Enforce strict IAM Least Privilege, KMS encryption, DynamoDB audit trails, and live CloudWatch/SNS operations dashboard monitoring.</w:t>
      </w:r>
    </w:p>
    <w:p>
      <w:pPr>
        <w:spacing w:after="160" w:line="276" w:lineRule="auto"/>
        <w:jc w:val="left"/>
      </w:pPr>
      <w:r>
        <w:rPr>
          <w:rFonts w:ascii="Times New Roman" w:hAnsi="Times New Roman"/>
          <w:b/>
          <w:color w:val="0F172A"/>
          <w:sz w:val="32"/>
        </w:rPr>
        <w:t>2. Expected Deliverables and Assessment Criteria</w:t>
      </w:r>
    </w:p>
    <w:p>
      <w:pPr>
        <w:pStyle w:val="ListBullet"/>
        <w:spacing w:after="80" w:line="300" w:lineRule="auto"/>
        <w:jc w:val="left"/>
      </w:pPr>
      <w:r>
        <w:rPr>
          <w:rFonts w:ascii="Times New Roman" w:hAnsi="Times New Roman"/>
          <w:b/>
          <w:color w:val="0F172A"/>
          <w:sz w:val="24"/>
        </w:rPr>
        <w:t xml:space="preserve">Deliverable 1: </w:t>
      </w:r>
      <w:r>
        <w:rPr>
          <w:rFonts w:ascii="Times New Roman" w:hAnsi="Times New Roman"/>
          <w:color w:val="1E293B"/>
          <w:sz w:val="24"/>
        </w:rPr>
        <w:t>Sub-600ms total closed-loop response time across PMU ingestion, anomaly scoring, mitigation actuation, and stability verification.</w:t>
      </w:r>
    </w:p>
    <w:p>
      <w:pPr>
        <w:pStyle w:val="ListBullet"/>
        <w:spacing w:after="80" w:line="300" w:lineRule="auto"/>
        <w:jc w:val="left"/>
      </w:pPr>
      <w:r>
        <w:rPr>
          <w:rFonts w:ascii="Times New Roman" w:hAnsi="Times New Roman"/>
          <w:b/>
          <w:color w:val="0F172A"/>
          <w:sz w:val="24"/>
        </w:rPr>
        <w:t xml:space="preserve">Deliverable 2: </w:t>
      </w:r>
      <w:r>
        <w:rPr>
          <w:rFonts w:ascii="Times New Roman" w:hAnsi="Times New Roman"/>
          <w:color w:val="1E293B"/>
          <w:sz w:val="24"/>
        </w:rPr>
        <w:t>High Availability serverless Multi-AZ deployment on AWS eliminating single-point-of-failure bottlenecks.</w:t>
      </w:r>
    </w:p>
    <w:p>
      <w:pPr>
        <w:pStyle w:val="ListBullet"/>
        <w:spacing w:after="80" w:line="300" w:lineRule="auto"/>
        <w:jc w:val="left"/>
      </w:pPr>
      <w:r>
        <w:rPr>
          <w:rFonts w:ascii="Times New Roman" w:hAnsi="Times New Roman"/>
          <w:b/>
          <w:color w:val="0F172A"/>
          <w:sz w:val="24"/>
        </w:rPr>
        <w:t xml:space="preserve">Deliverable 3: </w:t>
      </w:r>
      <w:r>
        <w:rPr>
          <w:rFonts w:ascii="Times New Roman" w:hAnsi="Times New Roman"/>
          <w:color w:val="1E293B"/>
          <w:sz w:val="24"/>
        </w:rPr>
        <w:t>Resilient local fallback handlers that maintain uninterrupted protection during temporary AWS Learner Lab token expirations.</w:t>
      </w:r>
    </w:p>
    <w:p>
      <w:pPr>
        <w:pStyle w:val="ListBullet"/>
        <w:spacing w:after="80" w:line="300" w:lineRule="auto"/>
        <w:jc w:val="left"/>
      </w:pPr>
      <w:r>
        <w:rPr>
          <w:rFonts w:ascii="Times New Roman" w:hAnsi="Times New Roman"/>
          <w:b/>
          <w:color w:val="0F172A"/>
          <w:sz w:val="24"/>
        </w:rPr>
        <w:t xml:space="preserve">Deliverable 4: </w:t>
      </w:r>
      <w:r>
        <w:rPr>
          <w:rFonts w:ascii="Times New Roman" w:hAnsi="Times New Roman"/>
          <w:color w:val="1E293B"/>
          <w:sz w:val="24"/>
        </w:rPr>
        <w:t>Interactive single-page dark-themed operations dashboard with live SSE streaming and CloudWatch alarm metrics.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