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Times New Roman" w:hAnsi="Times New Roman"/>
          <w:b/>
          <w:color w:val="0F172A"/>
          <w:sz w:val="26"/>
        </w:rPr>
        <w:t>BCSE355L – CLOUD ARCHITECTURE DESIGN</w:t>
        <w:br/>
        <w:t>PROJECT DOCUMENTATION</w:t>
        <w:br/>
        <w:br/>
      </w:r>
      <w:r>
        <w:rPr>
          <w:rFonts w:ascii="Times New Roman" w:hAnsi="Times New Roman"/>
          <w:b/>
          <w:color w:val="0284C7"/>
          <w:sz w:val="32"/>
        </w:rPr>
        <w:t>RESEARCH GAP ANALYSIS</w:t>
        <w:br/>
      </w:r>
    </w:p>
    <w:p>
      <w:pPr>
        <w:spacing w:after="360" w:line="288" w:lineRule="auto"/>
        <w:jc w:val="center"/>
      </w:pPr>
      <w:r>
        <w:rPr>
          <w:rFonts w:ascii="Times New Roman" w:hAnsi="Times New Roman"/>
          <w:i/>
          <w:color w:val="475569"/>
          <w:sz w:val="21"/>
        </w:rPr>
        <w:t>Team: Arun Srinivas (21BCE0482), Bhavya Verma (21BCE0791), Mohit Gupta (21BCE0834)</w:t>
        <w:br/>
        <w:t>Guide: Dr. Priya V | Institution: Vellore Institute of Technology, Vellore</w:t>
        <w:br/>
        <w:t>Project: Cloud Resilience Assessment Framework for Smart Powergrid Systems using Multi-Agent AI</w:t>
      </w:r>
    </w:p>
    <w:p>
      <w:pPr>
        <w:spacing w:after="160" w:line="276" w:lineRule="auto"/>
        <w:jc w:val="left"/>
      </w:pPr>
      <w:r>
        <w:rPr>
          <w:rFonts w:ascii="Times New Roman" w:hAnsi="Times New Roman"/>
          <w:b/>
          <w:color w:val="0F172A"/>
          <w:sz w:val="32"/>
        </w:rPr>
        <w:t>1. Individual Student Research Gap Analysis</w:t>
      </w:r>
    </w:p>
    <w:p>
      <w:pPr>
        <w:spacing w:after="120" w:line="360" w:lineRule="auto"/>
        <w:jc w:val="both"/>
      </w:pPr>
      <w:r>
        <w:rPr>
          <w:rFonts w:ascii="Times New Roman" w:hAnsi="Times New Roman"/>
          <w:i w:val="0"/>
          <w:color w:val="1E293B"/>
          <w:sz w:val="24"/>
        </w:rPr>
        <w:t>In accordance with course guidelines for a three-student team, each student independently analyzed their assigned five research papers. Student 1 (Arun Srinivas) analyzed Papers P1–P5; Student 2 (Bhavya Verma) analyzed Papers P6–P10; and Student 3 (Mohit Gupta) analyzed Papers P11–P15. Each analysis formulates the existing method, advantages, limitations, student-identified research gaps, and concrete engineering improvements required.</w:t>
      </w:r>
    </w:p>
    <w:tbl>
      <w:tblPr>
        <w:tblW w:type="auto" w:w="0"/>
        <w:jc w:val="center"/>
        <w:tblLook w:firstColumn="1" w:firstRow="1" w:lastColumn="0" w:lastRow="0" w:noHBand="0" w:noVBand="1" w:val="04A0"/>
        <w:tblBorders>
          <w:top w:val="single" w:sz="6" w:space="0" w:color="0F172A"/>
          <w:left w:val="none"/>
          <w:bottom w:val="single" w:sz="8" w:space="0" w:color="0F172A"/>
          <w:right w:val="none"/>
          <w:insideH w:val="single" w:sz="4" w:space="0" w:color="CBD5E1"/>
          <w:insideV w:val="none"/>
        </w:tblBorders>
      </w:tblPr>
      <w:tblGrid>
        <w:gridCol w:w="1560"/>
        <w:gridCol w:w="1560"/>
        <w:gridCol w:w="1560"/>
        <w:gridCol w:w="1560"/>
        <w:gridCol w:w="1560"/>
        <w:gridCol w:w="1560"/>
      </w:tblGrid>
      <w:tr>
        <w:tc>
          <w:tcPr>
            <w:tcW w:type="dxa" w:w="1296"/>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Paper ID</w:t>
            </w:r>
          </w:p>
        </w:tc>
        <w:tc>
          <w:tcPr>
            <w:tcW w:type="dxa" w:w="1728"/>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Existing method</w:t>
            </w:r>
          </w:p>
        </w:tc>
        <w:tc>
          <w:tcPr>
            <w:tcW w:type="dxa" w:w="1584"/>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Advantages</w:t>
            </w:r>
          </w:p>
        </w:tc>
        <w:tc>
          <w:tcPr>
            <w:tcW w:type="dxa" w:w="1728"/>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Limitations</w:t>
            </w:r>
          </w:p>
        </w:tc>
        <w:tc>
          <w:tcPr>
            <w:tcW w:type="dxa" w:w="2304"/>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Research gap identified by student</w:t>
            </w:r>
          </w:p>
        </w:tc>
        <w:tc>
          <w:tcPr>
            <w:tcW w:type="dxa" w:w="2160"/>
            <w:shd w:fill="0F172A"/>
            <w:tcMar>
              <w:top w:w="120" w:type="dxa"/>
              <w:bottom w:w="120" w:type="dxa"/>
              <w:left w:w="120" w:type="dxa"/>
              <w:right w:w="120" w:type="dxa"/>
            </w:tcMar>
          </w:tcPr>
          <w:p>
            <w:pPr>
              <w:spacing w:after="0" w:line="240" w:lineRule="auto"/>
              <w:jc w:val="center"/>
            </w:pPr>
            <w:r>
              <w:rPr>
                <w:rFonts w:ascii="Times New Roman" w:hAnsi="Times New Roman"/>
                <w:b/>
                <w:color w:val="FFFFFF"/>
                <w:sz w:val="19"/>
              </w:rPr>
              <w:t>Possible improvement</w:t>
            </w:r>
          </w:p>
        </w:tc>
      </w:tr>
      <w:tr>
        <w:tc>
          <w:tcPr>
            <w:tcW w:type="dxa" w:w="129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P1 [Arun Srinivas]</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Decentralized secondary voltage consensus control</w:t>
            </w:r>
          </w:p>
        </w:tc>
        <w:tc>
          <w:tcPr>
            <w:tcW w:type="dxa" w:w="158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Fast local stabilization (350ms) without single point of failure</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Vulnerable to network delay spikes &gt;120ms; assumes uncompromised channels</w:t>
            </w:r>
          </w:p>
        </w:tc>
        <w:tc>
          <w:tcPr>
            <w:tcW w:type="dxa" w:w="230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Fails to incorporate cloud latency buffers or packet jitter handling during sudden wide-area network degradation</w:t>
            </w:r>
          </w:p>
        </w:tc>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Introduce asynchronous edge-cloud buffering and predictive state estimation to maintain stability under variable latency</w:t>
            </w:r>
          </w:p>
        </w:tc>
      </w:tr>
      <w:tr>
        <w:tc>
          <w:tcPr>
            <w:tcW w:type="dxa" w:w="129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P2 [Arun Srinivas]</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Dynamic VM auto-scaling with ingress traffic scrubbing</w:t>
            </w:r>
          </w:p>
        </w:tc>
        <w:tc>
          <w:tcPr>
            <w:tcW w:type="dxa" w:w="158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Maintains telemetry throughput up to 10 Gbps DDoS saturation</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Centralized orchestrator represents critical single point of failure</w:t>
            </w:r>
          </w:p>
        </w:tc>
        <w:tc>
          <w:tcPr>
            <w:tcW w:type="dxa" w:w="230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Lack of decentralized agent control planes allows orchestrator DDoS to freeze all downstream substation commands</w:t>
            </w:r>
          </w:p>
        </w:tc>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Implement decentralized serverless agents (AWS Fargate/Lambda) distributed across Multi-AZs with autonomous failover</w:t>
            </w:r>
          </w:p>
        </w:tc>
      </w:tr>
      <w:tr>
        <w:tc>
          <w:tcPr>
            <w:tcW w:type="dxa" w:w="129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P3 [Arun Srinivas]</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Dynamic RBAC with tokenized access for IoT RTUs</w:t>
            </w:r>
          </w:p>
        </w:tc>
        <w:tc>
          <w:tcPr>
            <w:tcW w:type="dxa" w:w="158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Restricts 98.2% of unauthorized lateral movement attempts</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Static policy evaluation creates multi-second delays during failover</w:t>
            </w:r>
          </w:p>
        </w:tc>
        <w:tc>
          <w:tcPr>
            <w:tcW w:type="dxa" w:w="230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Rigid privilege boundaries fail to support rapid, policy-bounded emergency override when sub-second switching is required</w:t>
            </w:r>
          </w:p>
        </w:tc>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Engineer ephemeral, event-triggered IAM privilege elevation with automated TTL expiry for automated mitigation agents</w:t>
            </w:r>
          </w:p>
        </w:tc>
      </w:tr>
      <w:tr>
        <w:tc>
          <w:tcPr>
            <w:tcW w:type="dxa" w:w="129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P4 [Arun Srinivas]</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Deep RL (DDPG) edge agents for distribution fault detection</w:t>
            </w:r>
          </w:p>
        </w:tc>
        <w:tc>
          <w:tcPr>
            <w:tcW w:type="dxa" w:w="158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Sub-45ms localized detection with 97.4% classification accuracy</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Excessive memory and compute requirements for constrained edge nodes</w:t>
            </w:r>
          </w:p>
        </w:tc>
        <w:tc>
          <w:tcPr>
            <w:tcW w:type="dxa" w:w="230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Complex neural network architectures cannot execute reliably on low-power substation RTUs during thermal throttling</w:t>
            </w:r>
          </w:p>
        </w:tc>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Deploy lightweight unsupervised models (Isolation Forest) at edge/container layer paired with cloud-side deep validation</w:t>
            </w:r>
          </w:p>
        </w:tc>
      </w:tr>
      <w:tr>
        <w:tc>
          <w:tcPr>
            <w:tcW w:type="dxa" w:w="129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P5 [Arun Srinivas]</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Co-simulation digital twin (NS-3 + GridLAB-D) for cascade mapping</w:t>
            </w:r>
          </w:p>
        </w:tc>
        <w:tc>
          <w:tcPr>
            <w:tcW w:type="dxa" w:w="158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Accurately maps interdependencies between cloud VMs and transmission lines</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Operates purely as passive post-hoc diagnostic tool with zero mitigation</w:t>
            </w:r>
          </w:p>
        </w:tc>
        <w:tc>
          <w:tcPr>
            <w:tcW w:type="dxa" w:w="230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Complete absence of closed-loop actuation leaves the grid defenseless against rapid cascading failure propagation</w:t>
            </w:r>
          </w:p>
        </w:tc>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Integrate active serverless mitigation triggers directly from the digital twin into live cloud control pipelines</w:t>
            </w:r>
          </w:p>
        </w:tc>
      </w:tr>
      <w:tr>
        <w:tc>
          <w:tcPr>
            <w:tcW w:type="dxa" w:w="129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P6 [Bhavya Verma]</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Hyperledger Fabric blockchain for microgrid telemetry verification</w:t>
            </w:r>
          </w:p>
        </w:tc>
        <w:tc>
          <w:tcPr>
            <w:tcW w:type="dxa" w:w="158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Immutable, cryptographically verifiable audit logs for peer-to-peer trades</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Consensus finality latency (1.8–3.2s) violates real-time grid requirements</w:t>
            </w:r>
          </w:p>
        </w:tc>
        <w:tc>
          <w:tcPr>
            <w:tcW w:type="dxa" w:w="230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Blockchain consensus overhead is fundamentally incapable of meeting sub-second power system transient stabilization deadlines</w:t>
            </w:r>
          </w:p>
        </w:tc>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Utilize high-throughput NoSQL state stores (Amazon DynamoDB) with microsecond latency and KMS cryptographic signing</w:t>
            </w:r>
          </w:p>
        </w:tc>
      </w:tr>
      <w:tr>
        <w:tc>
          <w:tcPr>
            <w:tcW w:type="dxa" w:w="129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P7 [Bhavya Verma]</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Kubernetes container restart controllers and state replication</w:t>
            </w:r>
          </w:p>
        </w:tc>
        <w:tc>
          <w:tcPr>
            <w:tcW w:type="dxa" w:w="158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Recovers failed microservice pods within 1.2 seconds across multi-AZs</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Restart logic is completely agnostic to power grid phase angle constraints</w:t>
            </w:r>
          </w:p>
        </w:tc>
        <w:tc>
          <w:tcPr>
            <w:tcW w:type="dxa" w:w="230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Generic container restarts discard in-flight PMU telemetry batches, causing phase-angle blindness upon service reboot</w:t>
            </w:r>
          </w:p>
        </w:tc>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Implement persistent stream checkpoints in Amazon Kinesis and stateful serverless agents that preserve grid context</w:t>
            </w:r>
          </w:p>
        </w:tc>
      </w:tr>
      <w:tr>
        <w:tc>
          <w:tcPr>
            <w:tcW w:type="dxa" w:w="129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P8 [Bhavya Verma]</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Cryptographic break-glass protocol for emergency cyber operations</w:t>
            </w:r>
          </w:p>
        </w:tc>
        <w:tc>
          <w:tcPr>
            <w:tcW w:type="dxa" w:w="158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Cuts emergency admin response from 14 minutes down to 180ms</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Lacks automated privilege de-escalation routines after crisis ends</w:t>
            </w:r>
          </w:p>
        </w:tc>
        <w:tc>
          <w:tcPr>
            <w:tcW w:type="dxa" w:w="230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Failure to automatically revoke elevated privileges creates prolonged residual vulnerability windows for attackers</w:t>
            </w:r>
          </w:p>
        </w:tc>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Design dynamic IAM policy attachments with strict CloudWatch alarm callbacks and short-lived session token revocation</w:t>
            </w:r>
          </w:p>
        </w:tc>
      </w:tr>
      <w:tr>
        <w:tc>
          <w:tcPr>
            <w:tcW w:type="dxa" w:w="129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P9 [Bhavya Verma]</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Multi-Agent DDPG with cooperative reward sharing for power routing</w:t>
            </w:r>
          </w:p>
        </w:tc>
        <w:tc>
          <w:tcPr>
            <w:tcW w:type="dxa" w:w="158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Achieves 38% reduction in emergency load shedding under N-2 contingencies</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Adversarial state poisoning by a single agent corrupts the entire swarm</w:t>
            </w:r>
          </w:p>
        </w:tc>
        <w:tc>
          <w:tcPr>
            <w:tcW w:type="dxa" w:w="230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Cooperative learning assumes honest participants; malicious telemetry injection easily cascades into catastrophic false trips</w:t>
            </w:r>
          </w:p>
        </w:tc>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Deploy sanitized agent filters and unsupervised anomaly scoring before sharing telemetry across agent decision planes</w:t>
            </w:r>
          </w:p>
        </w:tc>
      </w:tr>
      <w:tr>
        <w:tc>
          <w:tcPr>
            <w:tcW w:type="dxa" w:w="129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P10 [Bhavya Verma]</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OpenFlow SDN controllers for automated multi-cloud WAN failover</w:t>
            </w:r>
          </w:p>
        </w:tc>
        <w:tc>
          <w:tcPr>
            <w:tcW w:type="dxa" w:w="158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Sub-120ms telemetry rerouting around physical network link cuts</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Relies strictly on static, pre-configured failover routing tables</w:t>
            </w:r>
          </w:p>
        </w:tc>
        <w:tc>
          <w:tcPr>
            <w:tcW w:type="dxa" w:w="230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Fails to handle multi-point topological failures or dynamically mutating cyber-attack topologies not mapped beforehand</w:t>
            </w:r>
          </w:p>
        </w:tc>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Incorporate autonomous graph topology agents that dynamically calculate non-congested paths using real-time telemetry</w:t>
            </w:r>
          </w:p>
        </w:tc>
      </w:tr>
      <w:tr>
        <w:tc>
          <w:tcPr>
            <w:tcW w:type="dxa" w:w="129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P11 [Mohit Gupta]</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Spatio-Temporal GCN for False Data Injection Attack detection</w:t>
            </w:r>
          </w:p>
        </w:tc>
        <w:tc>
          <w:tcPr>
            <w:tcW w:type="dxa" w:w="158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Achieves 98.6% FDIA detection precision with 38ms inference latency</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Purely passive alert generator; requires manual operator intervention</w:t>
            </w:r>
          </w:p>
        </w:tc>
        <w:tc>
          <w:tcPr>
            <w:tcW w:type="dxa" w:w="230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Detects attacks accurately but executes no automated remediation, allowing corrupt data to propagate into control loops</w:t>
            </w:r>
          </w:p>
        </w:tc>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Chain detection directly to an event-driven AWS Lambda mitigation engine executing automated substation isolation in &lt;85ms</w:t>
            </w:r>
          </w:p>
        </w:tc>
      </w:tr>
      <w:tr>
        <w:tc>
          <w:tcPr>
            <w:tcW w:type="dxa" w:w="129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P12 [Mohit Gupta]</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Lyapunov stability bound formulation for Byzantine agent swarms</w:t>
            </w:r>
          </w:p>
        </w:tc>
        <w:tc>
          <w:tcPr>
            <w:tcW w:type="dxa" w:w="158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Provides rigorous mathematical proofs bounding tolerable data corruption</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Validated solely in mathematical simulations; ignores real cloud jitter</w:t>
            </w:r>
          </w:p>
        </w:tc>
        <w:tc>
          <w:tcPr>
            <w:tcW w:type="dxa" w:w="230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Ignores real-world cloud virtualization overheads, container cold starts, and AWS API throttling under heavy load</w:t>
            </w:r>
          </w:p>
        </w:tc>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Empirically validate resilience bounds on native AWS services under active chaos injection using AWS Fault Injection Service</w:t>
            </w:r>
          </w:p>
        </w:tc>
      </w:tr>
      <w:tr>
        <w:tc>
          <w:tcPr>
            <w:tcW w:type="dxa" w:w="129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P13 [Mohit Gupta]</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Continuous micro-segmented mTLS and ephemeral JWT token validation</w:t>
            </w:r>
          </w:p>
        </w:tc>
        <w:tc>
          <w:tcPr>
            <w:tcW w:type="dxa" w:w="158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Completely eliminates unauthorized sensor spoofing and lateral movement</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Introduces 310ms latency overhead, violating power grid timing limits</w:t>
            </w:r>
          </w:p>
        </w:tc>
        <w:tc>
          <w:tcPr>
            <w:tcW w:type="dxa" w:w="230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Heavy cryptographic handshakes per telemetry packet degrade streaming throughput below acceptable PMU sampling frequencies</w:t>
            </w:r>
          </w:p>
        </w:tc>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Deploy hardware-accelerated AWS IoT Core mTLS termination at ingress with edge-cached authorization tokens</w:t>
            </w:r>
          </w:p>
        </w:tc>
      </w:tr>
      <w:tr>
        <w:tc>
          <w:tcPr>
            <w:tcW w:type="dxa" w:w="1296"/>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P14 [Mohit Gupta]</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Weighted average consensus with median filtering under Byzantine faults</w:t>
            </w:r>
          </w:p>
        </w:tc>
        <w:tc>
          <w:tcPr>
            <w:tcW w:type="dxa" w:w="158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Resilient against up to 20% compromised telemetry nodes in fixed grids</w:t>
            </w:r>
          </w:p>
        </w:tc>
        <w:tc>
          <w:tcPr>
            <w:tcW w:type="dxa" w:w="1728"/>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Strictly assumes fixed, static electrical network topology graphs</w:t>
            </w:r>
          </w:p>
        </w:tc>
        <w:tc>
          <w:tcPr>
            <w:tcW w:type="dxa" w:w="2304"/>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Algorithm diverges and fails completely when circuit breakers trip and power line topologies reconfigure dynamically</w:t>
            </w:r>
          </w:p>
        </w:tc>
        <w:tc>
          <w:tcPr>
            <w:tcW w:type="dxa" w:w="2160"/>
            <w:shd w:fill="F8FAFC"/>
            <w:tcMar>
              <w:top w:w="80" w:type="dxa"/>
              <w:bottom w:w="80" w:type="dxa"/>
              <w:left w:w="100" w:type="dxa"/>
              <w:right w:w="100" w:type="dxa"/>
            </w:tcMar>
          </w:tcPr>
          <w:p>
            <w:pPr>
              <w:spacing w:after="0" w:line="276" w:lineRule="auto"/>
              <w:jc w:val="left"/>
            </w:pPr>
            <w:r>
              <w:rPr>
                <w:rFonts w:ascii="Times New Roman" w:hAnsi="Times New Roman"/>
                <w:color w:val="1E293B"/>
                <w:sz w:val="18"/>
              </w:rPr>
              <w:t>Integrate closed-loop post-mitigation stability agents that recalculate consensus matrices dynamically following breaker actions</w:t>
            </w:r>
          </w:p>
        </w:tc>
      </w:tr>
      <w:tr>
        <w:tc>
          <w:tcPr>
            <w:tcW w:type="dxa" w:w="1296"/>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P15 [Mohit Gupta]</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Continuous automated CIS benchmark vulnerability scanner on cloud APIs</w:t>
            </w:r>
          </w:p>
        </w:tc>
        <w:tc>
          <w:tcPr>
            <w:tcW w:type="dxa" w:w="158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Discovers 92% of cloud IAM and network misconfigurations in 10 minutes</w:t>
            </w:r>
          </w:p>
        </w:tc>
        <w:tc>
          <w:tcPr>
            <w:tcW w:type="dxa" w:w="1728"/>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Active vulnerability probes overload legacy OT protocol translation gateways</w:t>
            </w:r>
          </w:p>
        </w:tc>
        <w:tc>
          <w:tcPr>
            <w:tcW w:type="dxa" w:w="2304"/>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Vulnerability scanning scripts induce high CPU and packet loss on legacy Modbus/DNP3 industrial communication bridges</w:t>
            </w:r>
          </w:p>
        </w:tc>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color w:val="1E293B"/>
                <w:sz w:val="18"/>
              </w:rPr>
              <w:t>Enforce non-intrusive passive AWS CloudTrail/Config rule audits and isolate OT telemetry streams behind dedicated AWS IoT Rules</w:t>
            </w:r>
          </w:p>
        </w:tc>
      </w:tr>
    </w:tbl>
    <w:p>
      <w:pPr>
        <w:spacing w:after="160" w:line="276" w:lineRule="auto"/>
        <w:jc w:val="left"/>
      </w:pPr>
      <w:r>
        <w:rPr>
          <w:rFonts w:ascii="Times New Roman" w:hAnsi="Times New Roman"/>
          <w:b/>
          <w:color w:val="0F172A"/>
          <w:sz w:val="32"/>
        </w:rPr>
        <w:t>2. Consolidated Research Gap</w:t>
      </w:r>
    </w:p>
    <w:p>
      <w:pPr>
        <w:spacing w:after="120" w:line="360" w:lineRule="auto"/>
        <w:jc w:val="both"/>
      </w:pPr>
      <w:r>
        <w:rPr>
          <w:rFonts w:ascii="Times New Roman" w:hAnsi="Times New Roman"/>
          <w:i w:val="0"/>
          <w:color w:val="1E293B"/>
          <w:sz w:val="24"/>
        </w:rPr>
        <w:t>A rigorous synthesis across all 15 evaluated papers reveals the primary research gap: Existing smart grid monitoring architectures rely predominantly on passive monitoring and reactive alerting. Current literature either diagnoses anomalies without executing automated mitigation, or executes mitigation without verifying whether the resulting grid topology remains dynamically stable. Furthermore, access controls remain static, failing to enforce dynamic Principle of Least Privilege (PoLP) during active emergencies. This project directly bridges this gap by engineering an integrated, serverless, closed-loop multi-agent resilience framework on AWS.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