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134D7"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rsidR="00B134D7" w:rsidRDefault="00835E5E">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13</w:t>
      </w:r>
      <w:r>
        <w:rPr>
          <w:rFonts w:ascii="Google Sans" w:eastAsia="Google Sans" w:hAnsi="Google Sans" w:cs="Google Sans"/>
          <w:b/>
          <w:sz w:val="28"/>
          <w:szCs w:val="28"/>
          <w:vertAlign w:val="superscript"/>
        </w:rPr>
        <w:t>th</w:t>
      </w:r>
      <w:r w:rsidR="00000000">
        <w:rPr>
          <w:rFonts w:ascii="Google Sans" w:eastAsia="Google Sans" w:hAnsi="Google Sans" w:cs="Google Sans"/>
          <w:b/>
          <w:sz w:val="28"/>
          <w:szCs w:val="28"/>
        </w:rPr>
        <w:t xml:space="preserve"> </w:t>
      </w:r>
      <w:r>
        <w:rPr>
          <w:rFonts w:ascii="Google Sans" w:eastAsia="Google Sans" w:hAnsi="Google Sans" w:cs="Google Sans"/>
          <w:b/>
          <w:sz w:val="28"/>
          <w:szCs w:val="28"/>
        </w:rPr>
        <w:t>August</w:t>
      </w:r>
      <w:r w:rsidR="00000000">
        <w:rPr>
          <w:rFonts w:ascii="Google Sans" w:eastAsia="Google Sans" w:hAnsi="Google Sans" w:cs="Google Sans"/>
          <w:b/>
          <w:sz w:val="28"/>
          <w:szCs w:val="28"/>
        </w:rPr>
        <w:t xml:space="preserve"> 20</w:t>
      </w:r>
      <w:r>
        <w:rPr>
          <w:rFonts w:ascii="Google Sans" w:eastAsia="Google Sans" w:hAnsi="Google Sans" w:cs="Google Sans"/>
          <w:b/>
          <w:sz w:val="28"/>
          <w:szCs w:val="28"/>
        </w:rPr>
        <w:t>25</w:t>
      </w:r>
    </w:p>
    <w:p w:rsidR="00B134D7"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5AE18445">
          <v:rect id="_x0000_i1025" style="width:0;height:1.5pt" o:hralign="center" o:hrstd="t" o:hr="t" fillcolor="#a0a0a0" stroked="f"/>
        </w:pict>
      </w:r>
    </w:p>
    <w:p w:rsidR="00B134D7"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rsidR="00B134D7"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B134D7"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rsidR="00B134D7"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rsidR="00B134D7"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rsidR="00FB1C4C" w:rsidRPr="00FB1C4C" w:rsidRDefault="00FB1C4C" w:rsidP="00FB1C4C">
      <w:pPr>
        <w:spacing w:before="200" w:after="200"/>
        <w:rPr>
          <w:rFonts w:ascii="Google Sans" w:eastAsia="Google Sans" w:hAnsi="Google Sans" w:cs="Google Sans"/>
          <w:color w:val="353744"/>
          <w:lang w:val="en-IN"/>
        </w:rPr>
      </w:pPr>
      <w:r w:rsidRPr="00FB1C4C">
        <w:rPr>
          <w:rFonts w:ascii="Google Sans" w:eastAsia="Google Sans" w:hAnsi="Google Sans" w:cs="Google Sans"/>
          <w:color w:val="353744"/>
          <w:lang w:val="en-IN"/>
        </w:rPr>
        <w:t>The database server is vital to the organization as it stores and manages essential business data needed for daily operations. Securing this data is critical to protect against unauthorized access, data breaches, and service disruptions. If the server were disabled, it could lead to operational downtime, financial losses, and reputational harm.</w:t>
      </w:r>
    </w:p>
    <w:p w:rsidR="00B134D7"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rsidR="00B134D7" w:rsidRDefault="00B134D7">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B134D7" w:rsidTr="00FB1C4C">
        <w:tc>
          <w:tcPr>
            <w:tcW w:w="1860" w:type="dxa"/>
            <w:tcBorders>
              <w:bottom w:val="single" w:sz="8" w:space="0" w:color="000000"/>
            </w:tcBorders>
            <w:shd w:val="clear" w:color="auto" w:fill="C9DAF8"/>
            <w:tcMar>
              <w:top w:w="100" w:type="dxa"/>
              <w:left w:w="100" w:type="dxa"/>
              <w:bottom w:w="100" w:type="dxa"/>
              <w:right w:w="100" w:type="dxa"/>
            </w:tcMar>
          </w:tcPr>
          <w:p w:rsidR="00B134D7"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rsidR="00B134D7"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rsidR="00B134D7"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rsidR="00B134D7"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rsidR="00B134D7"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B134D7" w:rsidTr="00FB1C4C">
        <w:tc>
          <w:tcPr>
            <w:tcW w:w="1860" w:type="dxa"/>
            <w:tcBorders>
              <w:bottom w:val="nil"/>
            </w:tcBorders>
            <w:shd w:val="clear" w:color="auto" w:fill="auto"/>
            <w:tcMar>
              <w:top w:w="100" w:type="dxa"/>
              <w:left w:w="100" w:type="dxa"/>
              <w:bottom w:w="100" w:type="dxa"/>
              <w:right w:w="100" w:type="dxa"/>
            </w:tcMar>
          </w:tcPr>
          <w:p w:rsidR="00B134D7" w:rsidRDefault="00FB1C4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Malicious Insider</w:t>
            </w:r>
          </w:p>
        </w:tc>
        <w:tc>
          <w:tcPr>
            <w:tcW w:w="3615" w:type="dxa"/>
            <w:shd w:val="clear" w:color="auto" w:fill="auto"/>
            <w:tcMar>
              <w:top w:w="100" w:type="dxa"/>
              <w:left w:w="100" w:type="dxa"/>
              <w:bottom w:w="100" w:type="dxa"/>
              <w:right w:w="100" w:type="dxa"/>
            </w:tcMar>
          </w:tcPr>
          <w:p w:rsidR="00B134D7" w:rsidRDefault="00FB1C4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Gain unauthorized access to database via weak access controls</w:t>
            </w:r>
          </w:p>
        </w:tc>
        <w:tc>
          <w:tcPr>
            <w:tcW w:w="1395" w:type="dxa"/>
            <w:shd w:val="clear" w:color="auto" w:fill="auto"/>
            <w:tcMar>
              <w:top w:w="100" w:type="dxa"/>
              <w:left w:w="100" w:type="dxa"/>
              <w:bottom w:w="100" w:type="dxa"/>
              <w:right w:w="100" w:type="dxa"/>
            </w:tcMar>
          </w:tcPr>
          <w:p w:rsidR="00B134D7" w:rsidRDefault="00FB1C4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rsidR="00B134D7"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rsidR="00B134D7" w:rsidRDefault="00FB1C4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B134D7" w:rsidTr="00FB1C4C">
        <w:tc>
          <w:tcPr>
            <w:tcW w:w="1860" w:type="dxa"/>
            <w:tcBorders>
              <w:top w:val="nil"/>
            </w:tcBorders>
            <w:shd w:val="clear" w:color="auto" w:fill="auto"/>
            <w:tcMar>
              <w:top w:w="100" w:type="dxa"/>
              <w:left w:w="100" w:type="dxa"/>
              <w:bottom w:w="100" w:type="dxa"/>
              <w:right w:w="100" w:type="dxa"/>
            </w:tcMar>
          </w:tcPr>
          <w:p w:rsidR="00B134D7" w:rsidRDefault="00FB1C4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External Attacker</w:t>
            </w:r>
          </w:p>
        </w:tc>
        <w:tc>
          <w:tcPr>
            <w:tcW w:w="3615" w:type="dxa"/>
            <w:shd w:val="clear" w:color="auto" w:fill="auto"/>
            <w:tcMar>
              <w:top w:w="100" w:type="dxa"/>
              <w:left w:w="100" w:type="dxa"/>
              <w:bottom w:w="100" w:type="dxa"/>
              <w:right w:w="100" w:type="dxa"/>
            </w:tcMar>
          </w:tcPr>
          <w:p w:rsidR="00B134D7" w:rsidRDefault="00FB1C4C">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Exploit misconfigured </w:t>
            </w:r>
            <w:r w:rsidR="00590E13">
              <w:rPr>
                <w:rFonts w:ascii="Google Sans" w:eastAsia="Google Sans" w:hAnsi="Google Sans" w:cs="Google Sans"/>
                <w:i/>
                <w:color w:val="353744"/>
              </w:rPr>
              <w:t>access permissions to steal data</w:t>
            </w:r>
          </w:p>
        </w:tc>
        <w:tc>
          <w:tcPr>
            <w:tcW w:w="1395"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B134D7">
        <w:tc>
          <w:tcPr>
            <w:tcW w:w="1860"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Malware/Ransomware</w:t>
            </w:r>
          </w:p>
        </w:tc>
        <w:tc>
          <w:tcPr>
            <w:tcW w:w="3615"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Infect server and encrypt database, causing downtime</w:t>
            </w:r>
          </w:p>
        </w:tc>
        <w:tc>
          <w:tcPr>
            <w:tcW w:w="1395"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rsidR="00B134D7" w:rsidRDefault="00590E1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bl>
    <w:p w:rsidR="00B134D7"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lastRenderedPageBreak/>
        <w:t>Approach</w:t>
      </w:r>
    </w:p>
    <w:p w:rsidR="00590E13" w:rsidRDefault="00590E13" w:rsidP="00590E13">
      <w:pPr>
        <w:ind w:left="360"/>
        <w:rPr>
          <w:rFonts w:ascii="Google Sans" w:eastAsia="Google Sans" w:hAnsi="Google Sans" w:cs="Google Sans"/>
          <w:color w:val="353744"/>
        </w:rPr>
      </w:pPr>
    </w:p>
    <w:p w:rsidR="00B134D7" w:rsidRDefault="00590E13" w:rsidP="00590E13">
      <w:pPr>
        <w:ind w:left="360"/>
        <w:rPr>
          <w:rFonts w:ascii="Google Sans" w:eastAsia="Google Sans" w:hAnsi="Google Sans" w:cs="Google Sans"/>
          <w:i/>
          <w:color w:val="353744"/>
        </w:rPr>
      </w:pPr>
      <w:r w:rsidRPr="00590E13">
        <w:rPr>
          <w:rFonts w:ascii="Google Sans" w:eastAsia="Google Sans" w:hAnsi="Google Sans" w:cs="Google Sans"/>
          <w:color w:val="353744"/>
        </w:rPr>
        <w:t>The risks were selected based on their relevance to the system’s access controls and their potential impact on critical business data. Likelihood scores were derived from historical incident patterns, system exposure, and configuration, while severity scores reflected potential operational, financial, and reputational consequences. The assessment was limited by available documentation, the exclusion of active exploitation testing, and the focus solely on access control threats.</w:t>
      </w:r>
    </w:p>
    <w:p w:rsidR="00B134D7"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rsidR="00590E13" w:rsidRPr="00590E13" w:rsidRDefault="00590E13" w:rsidP="00590E13">
      <w:pPr>
        <w:ind w:left="360"/>
        <w:rPr>
          <w:rFonts w:ascii="Google Sans" w:eastAsia="Google Sans" w:hAnsi="Google Sans" w:cs="Google Sans"/>
          <w:color w:val="353744"/>
          <w:lang w:val="en-IN"/>
        </w:rPr>
      </w:pPr>
      <w:r w:rsidRPr="00590E13">
        <w:rPr>
          <w:rFonts w:ascii="Google Sans" w:eastAsia="Google Sans" w:hAnsi="Google Sans" w:cs="Google Sans"/>
          <w:color w:val="353744"/>
          <w:lang w:val="en-IN"/>
        </w:rPr>
        <w:t>Current security measures such as SSL/TLS encryption and stable network configuration should be supplemented with stronger access control policies, multi-factor authentication, and regular account audits. Implementing role-based access control, timely patching, and continuous monitoring can significantly reduce the likelihood of unauthorized access or data compromise. Applying these controls based on the assessment findings will enhance the system’s confidentiality, integrity, and availability, ensuring more robust protection of critical business data.</w:t>
      </w:r>
    </w:p>
    <w:p w:rsidR="00B134D7" w:rsidRDefault="00B134D7" w:rsidP="00590E13">
      <w:pPr>
        <w:ind w:left="360"/>
        <w:rPr>
          <w:rFonts w:ascii="Google Sans" w:eastAsia="Google Sans" w:hAnsi="Google Sans" w:cs="Google Sans"/>
          <w:i/>
          <w:color w:val="353744"/>
        </w:rPr>
      </w:pPr>
    </w:p>
    <w:p w:rsidR="00B134D7" w:rsidRDefault="00B134D7"/>
    <w:sectPr w:rsidR="00B134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8D910547-AA4E-4FA4-BFAE-AB1267C54AA0}"/>
    <w:embedBold r:id="rId2" w:fontKey="{AA6E5C83-4257-4D81-B39A-B682D25B54F3}"/>
  </w:font>
  <w:font w:name="Google Sans">
    <w:altName w:val="Calibri"/>
    <w:charset w:val="00"/>
    <w:family w:val="auto"/>
    <w:pitch w:val="default"/>
    <w:embedRegular r:id="rId3" w:fontKey="{8E1C64F6-E9B5-49FA-B9D6-2C75FFD32E60}"/>
    <w:embedBold r:id="rId4" w:fontKey="{78A87771-AC59-466D-929E-2BCC0204D7D8}"/>
    <w:embedItalic r:id="rId5" w:fontKey="{AF39D141-F2D1-49F7-B45C-6CBD9DD21CAC}"/>
  </w:font>
  <w:font w:name="Calibri">
    <w:panose1 w:val="020F0502020204030204"/>
    <w:charset w:val="00"/>
    <w:family w:val="swiss"/>
    <w:pitch w:val="variable"/>
    <w:sig w:usb0="E4002EFF" w:usb1="C200247B" w:usb2="00000009" w:usb3="00000000" w:csb0="000001FF" w:csb1="00000000"/>
    <w:embedRegular r:id="rId6" w:fontKey="{108815C9-92E9-48F0-9D13-E477F6174959}"/>
  </w:font>
  <w:font w:name="Cambria">
    <w:panose1 w:val="02040503050406030204"/>
    <w:charset w:val="00"/>
    <w:family w:val="roman"/>
    <w:pitch w:val="variable"/>
    <w:sig w:usb0="E00006FF" w:usb1="420024FF" w:usb2="02000000" w:usb3="00000000" w:csb0="0000019F" w:csb1="00000000"/>
    <w:embedRegular r:id="rId7" w:fontKey="{46A8FFA7-8D6F-4F88-9D7F-448C946B700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D469AC"/>
    <w:multiLevelType w:val="multilevel"/>
    <w:tmpl w:val="96B88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0C5B69"/>
    <w:multiLevelType w:val="multilevel"/>
    <w:tmpl w:val="27822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3E52BA"/>
    <w:multiLevelType w:val="multilevel"/>
    <w:tmpl w:val="F582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1218954">
    <w:abstractNumId w:val="0"/>
  </w:num>
  <w:num w:numId="2" w16cid:durableId="1621690508">
    <w:abstractNumId w:val="1"/>
  </w:num>
  <w:num w:numId="3" w16cid:durableId="1600092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4D7"/>
    <w:rsid w:val="00590E13"/>
    <w:rsid w:val="00835E5E"/>
    <w:rsid w:val="00A879FA"/>
    <w:rsid w:val="00B134D7"/>
    <w:rsid w:val="00FB1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4C5A"/>
  <w15:docId w15:val="{02F83B75-521A-4142-ABAB-7786593D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736458">
      <w:bodyDiv w:val="1"/>
      <w:marLeft w:val="0"/>
      <w:marRight w:val="0"/>
      <w:marTop w:val="0"/>
      <w:marBottom w:val="0"/>
      <w:divBdr>
        <w:top w:val="none" w:sz="0" w:space="0" w:color="auto"/>
        <w:left w:val="none" w:sz="0" w:space="0" w:color="auto"/>
        <w:bottom w:val="none" w:sz="0" w:space="0" w:color="auto"/>
        <w:right w:val="none" w:sz="0" w:space="0" w:color="auto"/>
      </w:divBdr>
    </w:div>
    <w:div w:id="673384550">
      <w:bodyDiv w:val="1"/>
      <w:marLeft w:val="0"/>
      <w:marRight w:val="0"/>
      <w:marTop w:val="0"/>
      <w:marBottom w:val="0"/>
      <w:divBdr>
        <w:top w:val="none" w:sz="0" w:space="0" w:color="auto"/>
        <w:left w:val="none" w:sz="0" w:space="0" w:color="auto"/>
        <w:bottom w:val="none" w:sz="0" w:space="0" w:color="auto"/>
        <w:right w:val="none" w:sz="0" w:space="0" w:color="auto"/>
      </w:divBdr>
    </w:div>
    <w:div w:id="1759476013">
      <w:bodyDiv w:val="1"/>
      <w:marLeft w:val="0"/>
      <w:marRight w:val="0"/>
      <w:marTop w:val="0"/>
      <w:marBottom w:val="0"/>
      <w:divBdr>
        <w:top w:val="none" w:sz="0" w:space="0" w:color="auto"/>
        <w:left w:val="none" w:sz="0" w:space="0" w:color="auto"/>
        <w:bottom w:val="none" w:sz="0" w:space="0" w:color="auto"/>
        <w:right w:val="none" w:sz="0" w:space="0" w:color="auto"/>
      </w:divBdr>
    </w:div>
    <w:div w:id="185244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Parvathi</cp:lastModifiedBy>
  <cp:revision>2</cp:revision>
  <dcterms:created xsi:type="dcterms:W3CDTF">2025-08-13T11:22:00Z</dcterms:created>
  <dcterms:modified xsi:type="dcterms:W3CDTF">2025-08-13T11:47:00Z</dcterms:modified>
</cp:coreProperties>
</file>