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108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00"/>
      </w:tblGrid>
      <w:tr w14:paraId="53E56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26215C"/>
            <w:tcMar>
              <w:top w:w="260" w:type="dxa"/>
              <w:left w:w="300" w:type="dxa"/>
              <w:bottom w:w="260" w:type="dxa"/>
              <w:right w:w="300" w:type="dxa"/>
            </w:tcMar>
            <w:vAlign w:val="center"/>
          </w:tcPr>
          <w:p w14:paraId="6B6D6BA3">
            <w:pPr>
              <w:spacing w:after="60"/>
            </w:pPr>
            <w:bookmarkStart w:id="0" w:name="_GoBack"/>
            <w:bookmarkEnd w:id="0"/>
            <w:r>
              <w:rPr>
                <w:b/>
                <w:bCs/>
                <w:color w:val="CECBF6"/>
                <w:sz w:val="18"/>
                <w:szCs w:val="18"/>
              </w:rPr>
              <w:t>QA TRAINEE ASSIGNMENT</w:t>
            </w:r>
          </w:p>
          <w:p w14:paraId="588D76B0">
            <w:r>
              <w:rPr>
                <w:b/>
                <w:bCs/>
                <w:color w:val="FFFFFF"/>
                <w:sz w:val="34"/>
                <w:szCs w:val="34"/>
              </w:rPr>
              <w:t>Task 1 — End-to-end flow of a card transaction with 3D Secure (3DS)</w:t>
            </w:r>
          </w:p>
        </w:tc>
      </w:tr>
    </w:tbl>
    <w:p w14:paraId="57BE7618">
      <w:pPr>
        <w:spacing w:before="240" w:after="260"/>
      </w:pPr>
      <w:r>
        <w:rPr>
          <w:i/>
          <w:iCs/>
          <w:color w:val="5F5E5A"/>
          <w:sz w:val="22"/>
          <w:szCs w:val="22"/>
        </w:rPr>
        <w:t>A 3D Secure (3DS) transaction adds an identity-verification layer between merchant and card issuer, shifting fraud liability to the issuer once authentication succeeds. The diagram and steps below trace the full lifecycle — from checkout to authorization to the final success/failure event.</w:t>
      </w:r>
    </w:p>
    <w:p w14:paraId="4306E550">
      <w:pPr>
        <w:spacing w:after="100"/>
        <w:jc w:val="center"/>
      </w:pPr>
      <w:r>
        <w:drawing>
          <wp:inline distT="0" distB="0" distL="0" distR="0">
            <wp:extent cx="4762500" cy="60305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030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230F">
      <w:pPr>
        <w:sectPr>
          <w:pgSz w:w="12240" w:h="15840"/>
          <w:pgMar w:top="560" w:right="720" w:bottom="720" w:left="720" w:header="708" w:footer="708" w:gutter="0"/>
          <w:cols w:space="720" w:num="1"/>
          <w:docGrid w:linePitch="360" w:charSpace="0"/>
        </w:sectPr>
      </w:pPr>
    </w:p>
    <w:p w14:paraId="03FB1C19">
      <w:pPr>
        <w:pBdr>
          <w:bottom w:val="single" w:color="0F6E56" w:sz="6" w:space="4"/>
        </w:pBdr>
        <w:spacing w:before="320" w:after="140"/>
      </w:pPr>
      <w:r>
        <w:rPr>
          <w:b/>
          <w:bCs/>
          <w:color w:val="26215C"/>
          <w:sz w:val="26"/>
          <w:szCs w:val="26"/>
        </w:rPr>
        <w:t>Step-by-step explanation</w:t>
      </w:r>
    </w:p>
    <w:p w14:paraId="2FEF2695">
      <w:pPr>
        <w:spacing w:after="140"/>
        <w:ind w:left="200"/>
      </w:pPr>
      <w:r>
        <w:rPr>
          <w:b/>
          <w:bCs/>
          <w:color w:val="0F6E56"/>
          <w:sz w:val="22"/>
          <w:szCs w:val="22"/>
        </w:rPr>
        <w:t xml:space="preserve">1  </w:t>
      </w:r>
      <w:r>
        <w:rPr>
          <w:b/>
          <w:bCs/>
          <w:color w:val="26215C"/>
          <w:sz w:val="22"/>
          <w:szCs w:val="22"/>
        </w:rPr>
        <w:t xml:space="preserve">Frontend initiation (merchant site) — </w:t>
      </w:r>
      <w:r>
        <w:rPr>
          <w:color w:val="2C2C2A"/>
          <w:sz w:val="22"/>
          <w:szCs w:val="22"/>
        </w:rPr>
        <w:t>The customer enters card details, or selects a saved token, at merchant checkout. The merchant's frontend — via its payment SDK or a hosted iframe — collects this data without it touching the merchant's own servers in full, keeping the merchant out of full PCI-DSS scope.</w:t>
      </w:r>
    </w:p>
    <w:p w14:paraId="045994C2">
      <w:pPr>
        <w:spacing w:after="140"/>
        <w:ind w:left="200"/>
      </w:pPr>
      <w:r>
        <w:rPr>
          <w:b/>
          <w:bCs/>
          <w:color w:val="0F6E56"/>
          <w:sz w:val="22"/>
          <w:szCs w:val="22"/>
        </w:rPr>
        <w:t xml:space="preserve">2  </w:t>
      </w:r>
      <w:r>
        <w:rPr>
          <w:b/>
          <w:bCs/>
          <w:color w:val="26215C"/>
          <w:sz w:val="22"/>
          <w:szCs w:val="22"/>
        </w:rPr>
        <w:t xml:space="preserve">Tokenization — </w:t>
      </w:r>
      <w:r>
        <w:rPr>
          <w:color w:val="2C2C2A"/>
          <w:sz w:val="22"/>
          <w:szCs w:val="22"/>
        </w:rPr>
        <w:t>The card number (PAN) is sent directly from the browser/SDK to the payment gateway or a tokenization vault, which returns a single-use or vault token. The merchant server only ever handles this token, never the raw PAN.</w:t>
      </w:r>
    </w:p>
    <w:p w14:paraId="5406D4AB">
      <w:pPr>
        <w:spacing w:after="140"/>
        <w:ind w:left="200"/>
      </w:pPr>
      <w:r>
        <w:rPr>
          <w:b/>
          <w:bCs/>
          <w:color w:val="0F6E56"/>
          <w:sz w:val="22"/>
          <w:szCs w:val="22"/>
        </w:rPr>
        <w:t xml:space="preserve">3  </w:t>
      </w:r>
      <w:r>
        <w:rPr>
          <w:b/>
          <w:bCs/>
          <w:color w:val="26215C"/>
          <w:sz w:val="22"/>
          <w:szCs w:val="22"/>
        </w:rPr>
        <w:t xml:space="preserve">3DS authentication request — </w:t>
      </w:r>
      <w:r>
        <w:rPr>
          <w:color w:val="2C2C2A"/>
          <w:sz w:val="22"/>
          <w:szCs w:val="22"/>
        </w:rPr>
        <w:t>The gateway/acquirer sends a 3DS authentication request — via the card network's Directory Server (e.g. Visa or Mastercard) — to the issuing bank's Access Control Server (ACS), including device fingerprint, browser data, and transaction context.</w:t>
      </w:r>
    </w:p>
    <w:p w14:paraId="00B3C4FD">
      <w:pPr>
        <w:spacing w:after="140"/>
        <w:ind w:left="200"/>
      </w:pPr>
      <w:r>
        <w:rPr>
          <w:b/>
          <w:bCs/>
          <w:color w:val="0F6E56"/>
          <w:sz w:val="22"/>
          <w:szCs w:val="22"/>
        </w:rPr>
        <w:t xml:space="preserve">4  </w:t>
      </w:r>
      <w:r>
        <w:rPr>
          <w:b/>
          <w:bCs/>
          <w:color w:val="26215C"/>
          <w:sz w:val="22"/>
          <w:szCs w:val="22"/>
        </w:rPr>
        <w:t xml:space="preserve">Frictionless vs. challenge decision — </w:t>
      </w:r>
      <w:r>
        <w:rPr>
          <w:color w:val="2C2C2A"/>
          <w:sz w:val="22"/>
          <w:szCs w:val="22"/>
        </w:rPr>
        <w:t>The issuer's ACS runs a risk-based assessment. Low-risk transactions are approved silently (frictionless flow) with zero customer interaction. Higher-risk transactions trigger a challenge flow: the customer is redirected, in an iframe or popup, to the issuer's page and asked for an OTP, biometric confirmation, or banking-app approval.</w:t>
      </w:r>
    </w:p>
    <w:p w14:paraId="56108C74">
      <w:pPr>
        <w:spacing w:after="140"/>
        <w:ind w:left="200"/>
      </w:pPr>
      <w:r>
        <w:rPr>
          <w:b/>
          <w:bCs/>
          <w:color w:val="0F6E56"/>
          <w:sz w:val="22"/>
          <w:szCs w:val="22"/>
        </w:rPr>
        <w:t xml:space="preserve">5  </w:t>
      </w:r>
      <w:r>
        <w:rPr>
          <w:b/>
          <w:bCs/>
          <w:color w:val="26215C"/>
          <w:sz w:val="22"/>
          <w:szCs w:val="22"/>
        </w:rPr>
        <w:t xml:space="preserve">Challenge completion — </w:t>
      </w:r>
      <w:r>
        <w:rPr>
          <w:color w:val="2C2C2A"/>
          <w:sz w:val="22"/>
          <w:szCs w:val="22"/>
        </w:rPr>
        <w:t>If challenged, the customer submits the OTP or biometric proof to the ACS. The ACS validates it and returns an authentication result (CAVV/AAV and ECI values) back through the Directory Server to the merchant and acquirer.</w:t>
      </w:r>
    </w:p>
    <w:p w14:paraId="404179B6">
      <w:pPr>
        <w:spacing w:after="140"/>
        <w:ind w:left="200"/>
      </w:pPr>
      <w:r>
        <w:rPr>
          <w:b/>
          <w:bCs/>
          <w:color w:val="0F6E56"/>
          <w:sz w:val="22"/>
          <w:szCs w:val="22"/>
        </w:rPr>
        <w:t xml:space="preserve">6  </w:t>
      </w:r>
      <w:r>
        <w:rPr>
          <w:b/>
          <w:bCs/>
          <w:color w:val="26215C"/>
          <w:sz w:val="22"/>
          <w:szCs w:val="22"/>
        </w:rPr>
        <w:t xml:space="preserve">Authorization request (API) — </w:t>
      </w:r>
      <w:r>
        <w:rPr>
          <w:color w:val="2C2C2A"/>
          <w:sz w:val="22"/>
          <w:szCs w:val="22"/>
        </w:rPr>
        <w:t>With the 3DS authentication result attached as proof of verification, the acquirer sends a standard authorization request to the issuer over card-network rails, asking to place a hold for the transaction amount.</w:t>
      </w:r>
    </w:p>
    <w:p w14:paraId="41B34BFC">
      <w:pPr>
        <w:spacing w:after="140"/>
        <w:ind w:left="200"/>
      </w:pPr>
      <w:r>
        <w:rPr>
          <w:b/>
          <w:bCs/>
          <w:color w:val="0F6E56"/>
          <w:sz w:val="22"/>
          <w:szCs w:val="22"/>
        </w:rPr>
        <w:t xml:space="preserve">7  </w:t>
      </w:r>
      <w:r>
        <w:rPr>
          <w:b/>
          <w:bCs/>
          <w:color w:val="26215C"/>
          <w:sz w:val="22"/>
          <w:szCs w:val="22"/>
        </w:rPr>
        <w:t xml:space="preserve">Success / failure event handling — </w:t>
      </w:r>
      <w:r>
        <w:rPr>
          <w:color w:val="2C2C2A"/>
          <w:sz w:val="22"/>
          <w:szCs w:val="22"/>
        </w:rPr>
        <w:t>The issuer returns an approve or decline response. On approval, funds are held/captured and the merchant's webhook or API receives a success event confirming the order. On decline — failed authentication, insufficient funds, a risk block, or a cancelled challenge — a failure event is returned, a clear error is shown, and the customer is prompted to retry or use another payment method.</w:t>
      </w:r>
    </w:p>
    <w:p w14:paraId="03AD2A4C">
      <w:pPr>
        <w:pBdr>
          <w:bottom w:val="single" w:color="0F6E56" w:sz="6" w:space="4"/>
        </w:pBdr>
        <w:spacing w:before="320" w:after="140"/>
      </w:pPr>
      <w:r>
        <w:rPr>
          <w:b/>
          <w:bCs/>
          <w:color w:val="26215C"/>
          <w:sz w:val="26"/>
          <w:szCs w:val="26"/>
        </w:rPr>
        <w:t>Key points for testers</w:t>
      </w:r>
    </w:p>
    <w:p w14:paraId="14897325">
      <w:pPr>
        <w:pStyle w:val="16"/>
        <w:numPr>
          <w:ilvl w:val="0"/>
          <w:numId w:val="1"/>
        </w:numPr>
        <w:spacing w:after="90"/>
      </w:pPr>
      <w:r>
        <w:rPr>
          <w:color w:val="2C2C2A"/>
          <w:sz w:val="21"/>
          <w:szCs w:val="21"/>
        </w:rPr>
        <w:t>3DS shifts fraud liability to the issuer only when authentication is completed and passed — assert that liability-shift indicators (ECI/CAVV) are present on a successful transaction.</w:t>
      </w:r>
    </w:p>
    <w:p w14:paraId="7B596C14">
      <w:pPr>
        <w:pStyle w:val="16"/>
        <w:numPr>
          <w:ilvl w:val="0"/>
          <w:numId w:val="1"/>
        </w:numPr>
        <w:spacing w:after="90"/>
      </w:pPr>
      <w:r>
        <w:rPr>
          <w:color w:val="2C2C2A"/>
          <w:sz w:val="21"/>
          <w:szCs w:val="21"/>
        </w:rPr>
        <w:t>Frictionless approval is still a completed 3DS flow — don't assume “no OTP” means 3DS was skipped.</w:t>
      </w:r>
    </w:p>
    <w:p w14:paraId="674A5ADF">
      <w:pPr>
        <w:pStyle w:val="16"/>
        <w:numPr>
          <w:ilvl w:val="0"/>
          <w:numId w:val="1"/>
        </w:numPr>
        <w:spacing w:after="90"/>
      </w:pPr>
      <w:r>
        <w:rPr>
          <w:color w:val="2C2C2A"/>
          <w:sz w:val="21"/>
          <w:szCs w:val="21"/>
        </w:rPr>
        <w:t>Redirects and iframes used for the challenge step are a common source of timeout and back-button edge cases worth testing explicitly.</w:t>
      </w:r>
    </w:p>
    <w:p w14:paraId="50F9830E">
      <w:pPr>
        <w:pStyle w:val="16"/>
        <w:numPr>
          <w:ilvl w:val="0"/>
          <w:numId w:val="1"/>
        </w:numPr>
        <w:spacing w:after="90"/>
      </w:pPr>
      <w:r>
        <w:rPr>
          <w:color w:val="2C2C2A"/>
          <w:sz w:val="21"/>
          <w:szCs w:val="21"/>
        </w:rPr>
        <w:t>3DS authentication and authorization are separate API calls — a passed challenge does not guarantee the subsequent authorization will succeed (e.g. insufficient funds).</w:t>
      </w:r>
    </w:p>
    <w:sectPr>
      <w:pgSz w:w="12240" w:h="15840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4C552A03"/>
    <w:rsid w:val="719E4475"/>
    <w:rsid w:val="7B617F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483</Words>
  <Characters>2651</Characters>
  <TotalTime>9</TotalTime>
  <ScaleCrop>false</ScaleCrop>
  <LinksUpToDate>false</LinksUpToDate>
  <CharactersWithSpaces>3125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2026-07-08T16:23:00Z</dcterms:created>
  <dc:creator>Un-named</dc:creator>
  <cp:lastModifiedBy>WPS_1674894129</cp:lastModifiedBy>
  <dcterms:modified xsi:type="dcterms:W3CDTF">2026-07-08T16:37:56Z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8F6B344DC9474CE4B8B4E2C5B6E81B1F_13</vt:lpwstr>
  </property>
</Properties>
</file>