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40"/>
        <w:ind w:hanging="0" w:start="0" w:end="0"/>
        <w:jc w:val="center"/>
        <w:rPr/>
      </w:pPr>
      <w:r>
        <w:rPr/>
        <w:t>Industrial Carbon Emission</w:t>
        <w:br/>
        <w:t>Source Identification Engine</w:t>
      </w:r>
    </w:p>
    <w:p>
      <w:pPr>
        <w:pStyle w:val="BodyText"/>
        <w:bidi w:val="0"/>
        <w:spacing w:before="0" w:after="0"/>
        <w:jc w:val="center"/>
        <w:rPr/>
      </w:pPr>
      <w:r>
        <w:rPr/>
        <w:t>Final Functional Pipeline and Layered Design</w:t>
      </w:r>
    </w:p>
    <w:p>
      <w:pPr>
        <w:pStyle w:val="BodyText"/>
        <w:bidi w:val="0"/>
        <w:spacing w:before="0" w:after="0"/>
        <w:jc w:val="center"/>
        <w:rPr/>
      </w:pPr>
      <w:r>
        <w:rPr/>
        <w:t>Identification Only — Before Quantification and Recommendations</w:t>
      </w:r>
    </w:p>
    <w:p>
      <w:pPr>
        <w:pStyle w:val="BodyText"/>
        <w:bidi w:val="0"/>
        <w:jc w:val="center"/>
        <w:rPr/>
      </w:pPr>
      <w:r>
        <w:rPr/>
        <w:t>Prepared for HackOut'26</w:t>
        <w:br/>
        <w:t>Theme: Circular Carbon Ecosystem</w:t>
        <w:br/>
        <w:t>11 September 2026</w:t>
        <w:br/>
        <w:br/>
        <w:t xml:space="preserve">Working product: </w:t>
      </w:r>
      <w:r>
        <w:rPr>
          <w:b/>
        </w:rPr>
        <w:t>EmissionLens</w:t>
      </w:r>
      <w:r>
        <w:rPr/>
        <w:t xml:space="preserve"> </w:t>
      </w:r>
      <w:r>
        <w:br w:type="page"/>
      </w:r>
    </w:p>
    <w:p>
      <w:pPr>
        <w:pStyle w:val="Heading1"/>
        <w:bidi w:val="0"/>
        <w:ind w:hanging="0" w:start="0" w:end="0"/>
        <w:rPr/>
      </w:pPr>
      <w:r>
        <w:rPr/>
        <w:t>Document purpose</w:t>
      </w:r>
    </w:p>
    <w:p>
      <w:pPr>
        <w:pStyle w:val="BodyText"/>
        <w:keepLines/>
        <w:bidi w:val="0"/>
        <w:spacing w:before="200" w:after="280"/>
        <w:ind w:hanging="0" w:start="200" w:end="200"/>
        <w:rPr>
          <w:color w:val="145A43"/>
        </w:rPr>
      </w:pPr>
      <w:r>
        <w:rPr>
          <w:b/>
          <w:color w:val="145A43"/>
        </w:rPr>
        <w:t>Final direction:</w:t>
      </w:r>
      <w:r>
        <w:rPr>
          <w:color w:val="145A43"/>
        </w:rPr>
        <w:t xml:space="preserve"> Build a process-first, industry-assisted identification engine. Industry and product information narrow the search space; actual processes, equipment, inputs and outputs determine the candidate sources; rules and ML expose possible omissions; company evidence determines the final source inventory. </w:t>
      </w:r>
    </w:p>
    <w:p>
      <w:pPr>
        <w:pStyle w:val="BodyText"/>
        <w:bidi w:val="0"/>
        <w:rPr/>
      </w:pPr>
      <w:r>
        <w:rPr/>
        <w:t>This document defines the complete pipeline for identifying where greenhouse-gas emission sources may exist in a small or medium industrial facility. It deliberately stops before emission-factor selection, numerical carbon calculation, hotspot percentages, reduction scenarios or circular recommendations.</w:t>
      </w:r>
    </w:p>
    <w:p>
      <w:pPr>
        <w:pStyle w:val="BodyText"/>
        <w:bidi w:val="0"/>
        <w:rPr/>
      </w:pPr>
      <w:r>
        <w:rPr/>
        <w:t>The engine must answer one question:</w:t>
      </w:r>
    </w:p>
    <w:p>
      <w:pPr>
        <w:pStyle w:val="BodyText"/>
        <w:keepLines/>
        <w:bidi w:val="0"/>
        <w:spacing w:before="200" w:after="280"/>
        <w:ind w:hanging="0" w:start="200" w:end="200"/>
        <w:rPr>
          <w:b/>
          <w:color w:val="7A5610"/>
        </w:rPr>
      </w:pPr>
      <w:r>
        <w:rPr>
          <w:b/>
          <w:color w:val="7A5610"/>
        </w:rPr>
        <w:t>Which emission-generating activities exist, may exist, or remain unverified within this facility and its selected reporting boundary?</w:t>
      </w:r>
    </w:p>
    <w:p>
      <w:pPr>
        <w:pStyle w:val="Heading2"/>
        <w:bidi w:val="0"/>
        <w:rPr/>
      </w:pPr>
      <w:r>
        <w:rPr/>
        <w:t>Contents</w:t>
      </w:r>
    </w:p>
    <w:tbl>
      <w:tblPr>
        <w:tblW w:w="4808" w:type="dxa"/>
        <w:jc w:val="start"/>
        <w:tblInd w:w="0" w:type="dxa"/>
        <w:tblLayout w:type="fixed"/>
        <w:tblCellMar>
          <w:top w:w="28" w:type="dxa"/>
          <w:start w:w="28" w:type="dxa"/>
          <w:bottom w:w="28" w:type="dxa"/>
          <w:end w:w="28" w:type="dxa"/>
        </w:tblCellMar>
      </w:tblPr>
      <w:tblGrid>
        <w:gridCol w:w="354"/>
        <w:gridCol w:w="4454"/>
      </w:tblGrid>
      <w:tr>
        <w:trPr/>
        <w:tc>
          <w:tcPr>
            <w:tcW w:w="354" w:type="dxa"/>
            <w:tcBorders/>
            <w:vAlign w:val="center"/>
          </w:tcPr>
          <w:p>
            <w:pPr>
              <w:pStyle w:val="TableContents"/>
              <w:bidi w:val="0"/>
              <w:spacing w:before="0" w:after="140"/>
              <w:rPr/>
            </w:pPr>
            <w:r>
              <w:rPr/>
              <w:t>1</w:t>
            </w:r>
          </w:p>
        </w:tc>
        <w:tc>
          <w:tcPr>
            <w:tcW w:w="4454" w:type="dxa"/>
            <w:tcBorders/>
            <w:vAlign w:val="center"/>
          </w:tcPr>
          <w:p>
            <w:pPr>
              <w:pStyle w:val="TableContents"/>
              <w:bidi w:val="0"/>
              <w:spacing w:before="0" w:after="140"/>
              <w:rPr/>
            </w:pPr>
            <w:r>
              <w:rPr/>
              <w:t>Decision and design principles</w:t>
            </w:r>
          </w:p>
        </w:tc>
      </w:tr>
      <w:tr>
        <w:trPr/>
        <w:tc>
          <w:tcPr>
            <w:tcW w:w="354" w:type="dxa"/>
            <w:tcBorders/>
            <w:vAlign w:val="center"/>
          </w:tcPr>
          <w:p>
            <w:pPr>
              <w:pStyle w:val="TableContents"/>
              <w:bidi w:val="0"/>
              <w:spacing w:before="0" w:after="140"/>
              <w:rPr/>
            </w:pPr>
            <w:r>
              <w:rPr/>
              <w:t>2</w:t>
            </w:r>
          </w:p>
        </w:tc>
        <w:tc>
          <w:tcPr>
            <w:tcW w:w="4454" w:type="dxa"/>
            <w:tcBorders/>
            <w:vAlign w:val="center"/>
          </w:tcPr>
          <w:p>
            <w:pPr>
              <w:pStyle w:val="TableContents"/>
              <w:bidi w:val="0"/>
              <w:spacing w:before="0" w:after="140"/>
              <w:rPr/>
            </w:pPr>
            <w:r>
              <w:rPr/>
              <w:t>End-to-end identification pipeline</w:t>
            </w:r>
          </w:p>
        </w:tc>
      </w:tr>
      <w:tr>
        <w:trPr/>
        <w:tc>
          <w:tcPr>
            <w:tcW w:w="354" w:type="dxa"/>
            <w:tcBorders/>
            <w:vAlign w:val="center"/>
          </w:tcPr>
          <w:p>
            <w:pPr>
              <w:pStyle w:val="TableContents"/>
              <w:bidi w:val="0"/>
              <w:spacing w:before="0" w:after="140"/>
              <w:rPr/>
            </w:pPr>
            <w:r>
              <w:rPr/>
              <w:t>3</w:t>
            </w:r>
          </w:p>
        </w:tc>
        <w:tc>
          <w:tcPr>
            <w:tcW w:w="4454" w:type="dxa"/>
            <w:tcBorders/>
            <w:vAlign w:val="center"/>
          </w:tcPr>
          <w:p>
            <w:pPr>
              <w:pStyle w:val="TableContents"/>
              <w:bidi w:val="0"/>
              <w:spacing w:before="0" w:after="140"/>
              <w:rPr/>
            </w:pPr>
            <w:r>
              <w:rPr/>
              <w:t>Layered engine design</w:t>
            </w:r>
          </w:p>
        </w:tc>
      </w:tr>
      <w:tr>
        <w:trPr/>
        <w:tc>
          <w:tcPr>
            <w:tcW w:w="354" w:type="dxa"/>
            <w:tcBorders/>
            <w:vAlign w:val="center"/>
          </w:tcPr>
          <w:p>
            <w:pPr>
              <w:pStyle w:val="TableContents"/>
              <w:bidi w:val="0"/>
              <w:spacing w:before="0" w:after="140"/>
              <w:rPr/>
            </w:pPr>
            <w:r>
              <w:rPr/>
              <w:t>4</w:t>
            </w:r>
          </w:p>
        </w:tc>
        <w:tc>
          <w:tcPr>
            <w:tcW w:w="4454" w:type="dxa"/>
            <w:tcBorders/>
            <w:vAlign w:val="center"/>
          </w:tcPr>
          <w:p>
            <w:pPr>
              <w:pStyle w:val="TableContents"/>
              <w:bidi w:val="0"/>
              <w:spacing w:before="0" w:after="140"/>
              <w:rPr/>
            </w:pPr>
            <w:r>
              <w:rPr/>
              <w:t>ML engine: role, inputs and safeguards</w:t>
            </w:r>
          </w:p>
        </w:tc>
      </w:tr>
      <w:tr>
        <w:trPr/>
        <w:tc>
          <w:tcPr>
            <w:tcW w:w="354" w:type="dxa"/>
            <w:tcBorders/>
            <w:vAlign w:val="center"/>
          </w:tcPr>
          <w:p>
            <w:pPr>
              <w:pStyle w:val="TableContents"/>
              <w:bidi w:val="0"/>
              <w:spacing w:before="0" w:after="140"/>
              <w:rPr/>
            </w:pPr>
            <w:r>
              <w:rPr/>
              <w:t>5</w:t>
            </w:r>
          </w:p>
        </w:tc>
        <w:tc>
          <w:tcPr>
            <w:tcW w:w="4454" w:type="dxa"/>
            <w:tcBorders/>
            <w:vAlign w:val="center"/>
          </w:tcPr>
          <w:p>
            <w:pPr>
              <w:pStyle w:val="TableContents"/>
              <w:bidi w:val="0"/>
              <w:spacing w:before="0" w:after="140"/>
              <w:rPr/>
            </w:pPr>
            <w:r>
              <w:rPr/>
              <w:t>Universal source taxonomy and scope mapping</w:t>
            </w:r>
          </w:p>
        </w:tc>
      </w:tr>
      <w:tr>
        <w:trPr/>
        <w:tc>
          <w:tcPr>
            <w:tcW w:w="354" w:type="dxa"/>
            <w:tcBorders/>
            <w:vAlign w:val="center"/>
          </w:tcPr>
          <w:p>
            <w:pPr>
              <w:pStyle w:val="TableContents"/>
              <w:bidi w:val="0"/>
              <w:spacing w:before="0" w:after="140"/>
              <w:rPr/>
            </w:pPr>
            <w:r>
              <w:rPr/>
              <w:t>6</w:t>
            </w:r>
          </w:p>
        </w:tc>
        <w:tc>
          <w:tcPr>
            <w:tcW w:w="4454" w:type="dxa"/>
            <w:tcBorders/>
            <w:vAlign w:val="center"/>
          </w:tcPr>
          <w:p>
            <w:pPr>
              <w:pStyle w:val="TableContents"/>
              <w:bidi w:val="0"/>
              <w:spacing w:before="0" w:after="140"/>
              <w:rPr/>
            </w:pPr>
            <w:r>
              <w:rPr/>
              <w:t>Verification, evidence and confidence</w:t>
            </w:r>
          </w:p>
        </w:tc>
      </w:tr>
      <w:tr>
        <w:trPr/>
        <w:tc>
          <w:tcPr>
            <w:tcW w:w="354" w:type="dxa"/>
            <w:tcBorders/>
            <w:vAlign w:val="center"/>
          </w:tcPr>
          <w:p>
            <w:pPr>
              <w:pStyle w:val="TableContents"/>
              <w:bidi w:val="0"/>
              <w:spacing w:before="0" w:after="140"/>
              <w:rPr/>
            </w:pPr>
            <w:r>
              <w:rPr/>
              <w:t>7</w:t>
            </w:r>
          </w:p>
        </w:tc>
        <w:tc>
          <w:tcPr>
            <w:tcW w:w="4454" w:type="dxa"/>
            <w:tcBorders/>
            <w:vAlign w:val="center"/>
          </w:tcPr>
          <w:p>
            <w:pPr>
              <w:pStyle w:val="TableContents"/>
              <w:bidi w:val="0"/>
              <w:spacing w:before="0" w:after="140"/>
              <w:rPr/>
            </w:pPr>
            <w:r>
              <w:rPr/>
              <w:t>Final emission-source inventory</w:t>
            </w:r>
          </w:p>
        </w:tc>
      </w:tr>
      <w:tr>
        <w:trPr/>
        <w:tc>
          <w:tcPr>
            <w:tcW w:w="354" w:type="dxa"/>
            <w:tcBorders/>
            <w:vAlign w:val="center"/>
          </w:tcPr>
          <w:p>
            <w:pPr>
              <w:pStyle w:val="TableContents"/>
              <w:bidi w:val="0"/>
              <w:spacing w:before="0" w:after="140"/>
              <w:rPr/>
            </w:pPr>
            <w:r>
              <w:rPr/>
              <w:t>8</w:t>
            </w:r>
          </w:p>
        </w:tc>
        <w:tc>
          <w:tcPr>
            <w:tcW w:w="4454" w:type="dxa"/>
            <w:tcBorders/>
            <w:vAlign w:val="center"/>
          </w:tcPr>
          <w:p>
            <w:pPr>
              <w:pStyle w:val="TableContents"/>
              <w:bidi w:val="0"/>
              <w:spacing w:before="0" w:after="140"/>
              <w:rPr/>
            </w:pPr>
            <w:r>
              <w:rPr/>
              <w:t>Worked example</w:t>
            </w:r>
          </w:p>
        </w:tc>
      </w:tr>
      <w:tr>
        <w:trPr/>
        <w:tc>
          <w:tcPr>
            <w:tcW w:w="354" w:type="dxa"/>
            <w:tcBorders/>
            <w:vAlign w:val="center"/>
          </w:tcPr>
          <w:p>
            <w:pPr>
              <w:pStyle w:val="TableContents"/>
              <w:bidi w:val="0"/>
              <w:spacing w:before="0" w:after="140"/>
              <w:rPr/>
            </w:pPr>
            <w:r>
              <w:rPr/>
              <w:t>9</w:t>
            </w:r>
          </w:p>
        </w:tc>
        <w:tc>
          <w:tcPr>
            <w:tcW w:w="4454" w:type="dxa"/>
            <w:tcBorders/>
            <w:vAlign w:val="center"/>
          </w:tcPr>
          <w:p>
            <w:pPr>
              <w:pStyle w:val="TableContents"/>
              <w:bidi w:val="0"/>
              <w:spacing w:before="0" w:after="140"/>
              <w:rPr/>
            </w:pPr>
            <w:r>
              <w:rPr/>
              <w:t>MVP implementation and acceptance criteria</w:t>
            </w:r>
          </w:p>
        </w:tc>
      </w:tr>
      <w:tr>
        <w:trPr/>
        <w:tc>
          <w:tcPr>
            <w:tcW w:w="354" w:type="dxa"/>
            <w:tcBorders/>
            <w:vAlign w:val="center"/>
          </w:tcPr>
          <w:p>
            <w:pPr>
              <w:pStyle w:val="TableContents"/>
              <w:bidi w:val="0"/>
              <w:spacing w:before="0" w:after="140"/>
              <w:rPr/>
            </w:pPr>
            <w:r>
              <w:rPr/>
              <w:t>10</w:t>
            </w:r>
          </w:p>
        </w:tc>
        <w:tc>
          <w:tcPr>
            <w:tcW w:w="4454" w:type="dxa"/>
            <w:tcBorders/>
            <w:vAlign w:val="center"/>
          </w:tcPr>
          <w:p>
            <w:pPr>
              <w:pStyle w:val="TableContents"/>
              <w:bidi w:val="0"/>
              <w:spacing w:before="0" w:after="140"/>
              <w:rPr/>
            </w:pPr>
            <w:r>
              <w:rPr/>
              <w:t>Data model, governance and future readiness</w:t>
            </w:r>
          </w:p>
        </w:tc>
      </w:tr>
    </w:tbl>
    <w:p>
      <w:pPr>
        <w:pStyle w:val="Heading2"/>
        <w:bidi w:val="0"/>
        <w:rPr/>
      </w:pPr>
      <w:r>
        <w:rPr/>
        <w:t>Scope boundary</w:t>
      </w:r>
    </w:p>
    <w:tbl>
      <w:tblPr>
        <w:tblW w:w="5185" w:type="dxa"/>
        <w:jc w:val="start"/>
        <w:tblInd w:w="0" w:type="dxa"/>
        <w:tblLayout w:type="fixed"/>
        <w:tblCellMar>
          <w:top w:w="28" w:type="dxa"/>
          <w:start w:w="28" w:type="dxa"/>
          <w:bottom w:w="28" w:type="dxa"/>
          <w:end w:w="28" w:type="dxa"/>
        </w:tblCellMar>
      </w:tblPr>
      <w:tblGrid>
        <w:gridCol w:w="2446"/>
        <w:gridCol w:w="2739"/>
      </w:tblGrid>
      <w:tr>
        <w:trPr/>
        <w:tc>
          <w:tcPr>
            <w:tcW w:w="2446" w:type="dxa"/>
            <w:tcBorders/>
            <w:vAlign w:val="center"/>
          </w:tcPr>
          <w:p>
            <w:pPr>
              <w:pStyle w:val="TableHeading"/>
              <w:suppressLineNumbers/>
              <w:shd w:fill="176B4D" w:val="clear"/>
              <w:bidi w:val="0"/>
              <w:spacing w:before="0" w:after="140"/>
              <w:jc w:val="start"/>
              <w:rPr/>
            </w:pPr>
            <w:r>
              <w:rPr/>
              <w:t>Included now</w:t>
            </w:r>
          </w:p>
        </w:tc>
        <w:tc>
          <w:tcPr>
            <w:tcW w:w="2739" w:type="dxa"/>
            <w:tcBorders/>
            <w:vAlign w:val="center"/>
          </w:tcPr>
          <w:p>
            <w:pPr>
              <w:pStyle w:val="TableHeading"/>
              <w:suppressLineNumbers/>
              <w:shd w:fill="176B4D" w:val="clear"/>
              <w:bidi w:val="0"/>
              <w:spacing w:before="0" w:after="140"/>
              <w:jc w:val="start"/>
              <w:rPr/>
            </w:pPr>
            <w:r>
              <w:rPr/>
              <w:t>Explicitly excluded now</w:t>
            </w:r>
          </w:p>
        </w:tc>
      </w:tr>
      <w:tr>
        <w:trPr/>
        <w:tc>
          <w:tcPr>
            <w:tcW w:w="2446" w:type="dxa"/>
            <w:tcBorders/>
            <w:vAlign w:val="center"/>
          </w:tcPr>
          <w:p>
            <w:pPr>
              <w:pStyle w:val="TableContents"/>
              <w:bidi w:val="0"/>
              <w:spacing w:before="0" w:after="140"/>
              <w:rPr/>
            </w:pPr>
            <w:r>
              <w:rPr/>
              <w:t>Industry, product and facility context</w:t>
              <w:br/>
              <w:t>Process-flow discovery</w:t>
              <w:br/>
              <w:t>Equipment and input/output mapping</w:t>
              <w:br/>
              <w:t>Universal source checklist</w:t>
              <w:br/>
              <w:t>Rule-based candidate generation</w:t>
              <w:br/>
              <w:t>ML-assisted extraction and missing-source detection</w:t>
              <w:br/>
              <w:t>Scope/source-type classification</w:t>
              <w:br/>
              <w:t>Evidence collection and confidence</w:t>
              <w:br/>
              <w:t xml:space="preserve">Final source register </w:t>
            </w:r>
          </w:p>
        </w:tc>
        <w:tc>
          <w:tcPr>
            <w:tcW w:w="2739" w:type="dxa"/>
            <w:tcBorders/>
            <w:vAlign w:val="center"/>
          </w:tcPr>
          <w:p>
            <w:pPr>
              <w:pStyle w:val="TableContents"/>
              <w:bidi w:val="0"/>
              <w:spacing w:before="0" w:after="140"/>
              <w:rPr/>
            </w:pPr>
            <w:r>
              <w:rPr/>
              <w:t>Emission factors</w:t>
              <w:br/>
              <w:t>CO2 or CO2e calculations</w:t>
              <w:br/>
              <w:t>Percentage contribution or hotspot ranking by emissions</w:t>
              <w:br/>
              <w:t>Circular recommendations</w:t>
              <w:br/>
              <w:t>Cost, savings or payback calculations</w:t>
              <w:br/>
              <w:t>Carbon-credit or compliance claims</w:t>
              <w:br/>
              <w:t xml:space="preserve">Physical leak detection using sensors </w:t>
            </w:r>
          </w:p>
        </w:tc>
      </w:tr>
    </w:tbl>
    <w:p>
      <w:pPr>
        <w:pStyle w:val="BodyText"/>
        <w:keepLines/>
        <w:bidi w:val="0"/>
        <w:spacing w:before="180" w:after="180"/>
        <w:ind w:hanging="0" w:start="180" w:end="180"/>
        <w:rPr>
          <w:color w:val="963F32"/>
        </w:rPr>
      </w:pPr>
      <w:r>
        <w:rPr>
          <w:b/>
          <w:color w:val="963F32"/>
        </w:rPr>
        <w:t>Important:</w:t>
      </w:r>
      <w:r>
        <w:rPr>
          <w:color w:val="963F32"/>
        </w:rPr>
        <w:t xml:space="preserve"> “Leak-point detector” in this design means finding hidden or overlooked sources in the operational footprint. It does not mean detecting a physical gas leak.</w:t>
      </w:r>
    </w:p>
    <w:p>
      <w:pPr>
        <w:pStyle w:val="Heading1"/>
        <w:bidi w:val="0"/>
        <w:ind w:hanging="0" w:start="0" w:end="0"/>
        <w:rPr/>
      </w:pPr>
      <w:r>
        <w:rPr/>
        <w:t>1. Decision and design principles</w:t>
      </w:r>
    </w:p>
    <w:p>
      <w:pPr>
        <w:pStyle w:val="Heading2"/>
        <w:bidi w:val="0"/>
        <w:rPr/>
      </w:pPr>
      <w:r>
        <w:rPr/>
        <w:t>1.1 Why industry remains an input</w:t>
      </w:r>
    </w:p>
    <w:p>
      <w:pPr>
        <w:pStyle w:val="BodyText"/>
        <w:bidi w:val="0"/>
        <w:rPr/>
      </w:pPr>
      <w:r>
        <w:rPr/>
        <w:t>Industry type is retained because it helps load a relevant process template and prevents the system from asking every user hundreds of questions. It is not sufficient evidence that a source exists. A food-processing facility may or may not operate a boiler; a textile facility may outsource dyeing; two factories in the same industry may have very different boundaries.</w:t>
      </w:r>
    </w:p>
    <w:p>
      <w:pPr>
        <w:pStyle w:val="BodyText"/>
        <w:bidi w:val="0"/>
        <w:rPr/>
      </w:pPr>
      <w:r>
        <w:rPr/>
        <w:t>The hierarchy is therefore:</w:t>
      </w:r>
    </w:p>
    <w:p>
      <w:pPr>
        <w:pStyle w:val="BodyText"/>
        <w:keepLines/>
        <w:bidi w:val="0"/>
        <w:spacing w:before="160" w:after="240"/>
        <w:ind w:hanging="0" w:start="160" w:end="160"/>
        <w:rPr>
          <w:rFonts w:ascii="Liberation Mono;Consolas;monospace" w:hAnsi="Liberation Mono;Consolas;monospace"/>
          <w:color w:val="385148"/>
          <w:sz w:val="18"/>
        </w:rPr>
      </w:pPr>
      <w:r>
        <w:rPr>
          <w:rFonts w:ascii="Liberation Mono;Consolas;monospace" w:hAnsi="Liberation Mono;Consolas;monospace"/>
          <w:color w:val="385148"/>
          <w:sz w:val="18"/>
        </w:rPr>
        <w:t>Industry suggests likely processes. Product clarifies the likely production route. Actual process and equipment data create candidate sources. Evidence and user confirmation establish the final status.</w:t>
      </w:r>
    </w:p>
    <w:p>
      <w:pPr>
        <w:pStyle w:val="Heading2"/>
        <w:bidi w:val="0"/>
        <w:rPr/>
      </w:pPr>
      <w:r>
        <w:rPr/>
        <w:t>1.2 Core principles</w:t>
      </w:r>
    </w:p>
    <w:p>
      <w:pPr>
        <w:pStyle w:val="BodyText"/>
        <w:numPr>
          <w:ilvl w:val="0"/>
          <w:numId w:val="1"/>
        </w:numPr>
        <w:tabs>
          <w:tab w:val="clear" w:pos="1134"/>
          <w:tab w:val="left" w:pos="709" w:leader="none"/>
        </w:tabs>
        <w:bidi w:val="0"/>
        <w:spacing w:before="0" w:after="0"/>
        <w:ind w:hanging="283" w:start="709"/>
        <w:rPr/>
      </w:pPr>
      <w:r>
        <w:rPr>
          <w:b/>
        </w:rPr>
        <w:t>Actual activity over industry assumption:</w:t>
      </w:r>
      <w:r>
        <w:rPr/>
        <w:t xml:space="preserve"> Industry templates propose questions; they do not auto-confirm sources. </w:t>
      </w:r>
    </w:p>
    <w:p>
      <w:pPr>
        <w:pStyle w:val="BodyText"/>
        <w:numPr>
          <w:ilvl w:val="0"/>
          <w:numId w:val="1"/>
        </w:numPr>
        <w:tabs>
          <w:tab w:val="clear" w:pos="1134"/>
          <w:tab w:val="left" w:pos="709" w:leader="none"/>
        </w:tabs>
        <w:bidi w:val="0"/>
        <w:spacing w:before="0" w:after="0"/>
        <w:ind w:hanging="283" w:start="709"/>
        <w:rPr/>
      </w:pPr>
      <w:r>
        <w:rPr>
          <w:b/>
        </w:rPr>
        <w:t>Process-first discovery:</w:t>
      </w:r>
      <w:r>
        <w:rPr/>
        <w:t xml:space="preserve"> Trace each factory step from material receipt through production, utilities, waste treatment and dispatch. </w:t>
      </w:r>
    </w:p>
    <w:p>
      <w:pPr>
        <w:pStyle w:val="BodyText"/>
        <w:numPr>
          <w:ilvl w:val="0"/>
          <w:numId w:val="1"/>
        </w:numPr>
        <w:tabs>
          <w:tab w:val="clear" w:pos="1134"/>
          <w:tab w:val="left" w:pos="709" w:leader="none"/>
        </w:tabs>
        <w:bidi w:val="0"/>
        <w:spacing w:before="0" w:after="0"/>
        <w:ind w:hanging="283" w:start="709"/>
        <w:rPr/>
      </w:pPr>
      <w:r>
        <w:rPr>
          <w:b/>
        </w:rPr>
        <w:t>Universal safety net:</w:t>
      </w:r>
      <w:r>
        <w:rPr/>
        <w:t xml:space="preserve"> Run a cross-industry checklist after the industry template to catch unusual or overlooked sources. </w:t>
      </w:r>
    </w:p>
    <w:p>
      <w:pPr>
        <w:pStyle w:val="BodyText"/>
        <w:numPr>
          <w:ilvl w:val="0"/>
          <w:numId w:val="1"/>
        </w:numPr>
        <w:tabs>
          <w:tab w:val="clear" w:pos="1134"/>
          <w:tab w:val="left" w:pos="709" w:leader="none"/>
        </w:tabs>
        <w:bidi w:val="0"/>
        <w:spacing w:before="0" w:after="0"/>
        <w:ind w:hanging="283" w:start="709"/>
        <w:rPr/>
      </w:pPr>
      <w:r>
        <w:rPr>
          <w:b/>
        </w:rPr>
        <w:t>ML proposes; rules and evidence decide:</w:t>
      </w:r>
      <w:r>
        <w:rPr/>
        <w:t xml:space="preserve"> A model may rank or surface candidate sources, but it cannot mark a source “confirmed” by itself. </w:t>
      </w:r>
    </w:p>
    <w:p>
      <w:pPr>
        <w:pStyle w:val="BodyText"/>
        <w:numPr>
          <w:ilvl w:val="0"/>
          <w:numId w:val="1"/>
        </w:numPr>
        <w:tabs>
          <w:tab w:val="clear" w:pos="1134"/>
          <w:tab w:val="left" w:pos="709" w:leader="none"/>
        </w:tabs>
        <w:bidi w:val="0"/>
        <w:spacing w:before="0" w:after="0"/>
        <w:ind w:hanging="283" w:start="709"/>
        <w:rPr/>
      </w:pPr>
      <w:r>
        <w:rPr>
          <w:b/>
        </w:rPr>
        <w:t>Missing is not zero:</w:t>
      </w:r>
      <w:r>
        <w:rPr/>
        <w:t xml:space="preserve"> An unverified source remains visible until the business supplies evidence or declares it not applicable. </w:t>
      </w:r>
    </w:p>
    <w:p>
      <w:pPr>
        <w:pStyle w:val="BodyText"/>
        <w:numPr>
          <w:ilvl w:val="0"/>
          <w:numId w:val="1"/>
        </w:numPr>
        <w:tabs>
          <w:tab w:val="clear" w:pos="1134"/>
          <w:tab w:val="left" w:pos="709" w:leader="none"/>
        </w:tabs>
        <w:bidi w:val="0"/>
        <w:spacing w:before="0" w:after="0"/>
        <w:ind w:hanging="283" w:start="709"/>
        <w:rPr/>
      </w:pPr>
      <w:r>
        <w:rPr>
          <w:b/>
        </w:rPr>
        <w:t>Boundary before scope:</w:t>
      </w:r>
      <w:r>
        <w:rPr/>
        <w:t xml:space="preserve"> Ownership, control and outsourcing questions must be answered before assigning Scope 1, 2 or 3. </w:t>
      </w:r>
    </w:p>
    <w:p>
      <w:pPr>
        <w:pStyle w:val="BodyText"/>
        <w:numPr>
          <w:ilvl w:val="0"/>
          <w:numId w:val="1"/>
        </w:numPr>
        <w:tabs>
          <w:tab w:val="clear" w:pos="1134"/>
          <w:tab w:val="left" w:pos="709" w:leader="none"/>
        </w:tabs>
        <w:bidi w:val="0"/>
        <w:ind w:hanging="283" w:start="709"/>
        <w:rPr/>
      </w:pPr>
      <w:r>
        <w:rPr>
          <w:b/>
        </w:rPr>
        <w:t>Traceable output:</w:t>
      </w:r>
      <w:r>
        <w:rPr/>
        <w:t xml:space="preserve"> Every source must show why it was suggested, what evidence was used and what data will later be required for quantification. </w:t>
      </w:r>
    </w:p>
    <w:p>
      <w:pPr>
        <w:pStyle w:val="Heading2"/>
        <w:bidi w:val="0"/>
        <w:rPr/>
      </w:pPr>
      <w:r>
        <w:rPr/>
        <w:t>1.3 System outcome</w:t>
      </w:r>
    </w:p>
    <w:p>
      <w:pPr>
        <w:pStyle w:val="BodyText"/>
        <w:bidi w:val="0"/>
        <w:rPr/>
      </w:pPr>
      <w:r>
        <w:rPr/>
        <w:t xml:space="preserve">The output is not a carbon number. It is an auditable </w:t>
      </w:r>
      <w:r>
        <w:rPr>
          <w:b/>
        </w:rPr>
        <w:t>Emission Source Inventory</w:t>
      </w:r>
      <w:r>
        <w:rPr/>
        <w:t xml:space="preserve"> containing confirmed, potential, missing-information, not-applicable and outsourced sources.</w:t>
      </w:r>
    </w:p>
    <w:p>
      <w:pPr>
        <w:pStyle w:val="Heading1"/>
        <w:bidi w:val="0"/>
        <w:ind w:hanging="0" w:start="0" w:end="0"/>
        <w:rPr/>
      </w:pPr>
      <w:r>
        <w:rPr/>
        <w:t>2. End-to-end identification pipeline</w:t>
      </w:r>
    </w:p>
    <w:p>
      <w:pPr>
        <w:pStyle w:val="BodyText"/>
        <w:bidi w:val="0"/>
        <w:spacing w:before="240" w:after="360"/>
        <w:ind w:hanging="0" w:start="240" w:end="240"/>
        <w:jc w:val="center"/>
        <w:rPr>
          <w:b/>
          <w:color w:val="174F3C"/>
          <w:bdr w:val="single" w:sz="2" w:space="7" w:color="72AC92"/>
          <w:shd w:fill="EDF7F2" w:val="clear"/>
        </w:rPr>
      </w:pPr>
      <w:r>
        <w:rPr>
          <w:b/>
          <w:color w:val="174F3C"/>
          <w:bdr w:val="single" w:sz="2" w:space="7" w:color="72AC92"/>
          <w:shd w:fill="EDF7F2" w:val="clear"/>
        </w:rPr>
        <w:t>1. Company and Facility Context</w:t>
      </w:r>
    </w:p>
    <w:p>
      <w:pPr>
        <w:pStyle w:val="BodyText"/>
        <w:bidi w:val="0"/>
        <w:spacing w:lineRule="atLeast" w:line="320" w:before="240" w:after="360"/>
        <w:ind w:hanging="0" w:start="240" w:end="240"/>
        <w:jc w:val="center"/>
        <w:rPr>
          <w:color w:val="2D8A62"/>
        </w:rPr>
      </w:pPr>
      <w:r>
        <w:rPr>
          <w:color w:val="2D8A62"/>
        </w:rPr>
        <w:t>↓</w:t>
      </w:r>
    </w:p>
    <w:p>
      <w:pPr>
        <w:pStyle w:val="BodyText"/>
        <w:bidi w:val="0"/>
        <w:spacing w:before="240" w:after="360"/>
        <w:ind w:hanging="0" w:start="240" w:end="240"/>
        <w:jc w:val="center"/>
        <w:rPr>
          <w:b/>
          <w:color w:val="174F3C"/>
          <w:bdr w:val="single" w:sz="2" w:space="7" w:color="72AC92"/>
          <w:shd w:fill="EDF7F2" w:val="clear"/>
        </w:rPr>
      </w:pPr>
      <w:r>
        <w:rPr>
          <w:b/>
          <w:color w:val="174F3C"/>
          <w:bdr w:val="single" w:sz="2" w:space="7" w:color="72AC92"/>
          <w:shd w:fill="EDF7F2" w:val="clear"/>
        </w:rPr>
        <w:t>2. Industry, Sub-industry and Product</w:t>
      </w:r>
    </w:p>
    <w:p>
      <w:pPr>
        <w:pStyle w:val="BodyText"/>
        <w:bidi w:val="0"/>
        <w:spacing w:lineRule="atLeast" w:line="320" w:before="240" w:after="360"/>
        <w:ind w:hanging="0" w:start="240" w:end="240"/>
        <w:jc w:val="center"/>
        <w:rPr>
          <w:color w:val="2D8A62"/>
        </w:rPr>
      </w:pPr>
      <w:r>
        <w:rPr>
          <w:color w:val="2D8A62"/>
        </w:rPr>
        <w:t>↓</w:t>
      </w:r>
    </w:p>
    <w:p>
      <w:pPr>
        <w:pStyle w:val="BodyText"/>
        <w:bidi w:val="0"/>
        <w:spacing w:before="240" w:after="360"/>
        <w:ind w:hanging="0" w:start="240" w:end="240"/>
        <w:jc w:val="center"/>
        <w:rPr>
          <w:b/>
          <w:color w:val="174F3C"/>
          <w:bdr w:val="single" w:sz="2" w:space="7" w:color="72AC92"/>
          <w:shd w:fill="EDF7F2" w:val="clear"/>
        </w:rPr>
      </w:pPr>
      <w:r>
        <w:rPr>
          <w:b/>
          <w:color w:val="174F3C"/>
          <w:bdr w:val="single" w:sz="2" w:space="7" w:color="72AC92"/>
          <w:shd w:fill="EDF7F2" w:val="clear"/>
        </w:rPr>
        <w:t>3. Industry Process Template</w:t>
      </w:r>
    </w:p>
    <w:p>
      <w:pPr>
        <w:pStyle w:val="BodyText"/>
        <w:bidi w:val="0"/>
        <w:spacing w:lineRule="atLeast" w:line="320" w:before="240" w:after="360"/>
        <w:ind w:hanging="0" w:start="240" w:end="240"/>
        <w:jc w:val="center"/>
        <w:rPr>
          <w:color w:val="2D8A62"/>
        </w:rPr>
      </w:pPr>
      <w:r>
        <w:rPr>
          <w:color w:val="2D8A62"/>
        </w:rPr>
        <w:t>↓</w:t>
      </w:r>
    </w:p>
    <w:p>
      <w:pPr>
        <w:pStyle w:val="BodyText"/>
        <w:bidi w:val="0"/>
        <w:spacing w:before="240" w:after="360"/>
        <w:ind w:hanging="0" w:start="240" w:end="240"/>
        <w:jc w:val="center"/>
        <w:rPr>
          <w:b/>
          <w:color w:val="174F3C"/>
          <w:bdr w:val="single" w:sz="2" w:space="7" w:color="72AC92"/>
          <w:shd w:fill="EDF7F2" w:val="clear"/>
        </w:rPr>
      </w:pPr>
      <w:r>
        <w:rPr>
          <w:b/>
          <w:color w:val="174F3C"/>
          <w:bdr w:val="single" w:sz="2" w:space="7" w:color="72AC92"/>
          <w:shd w:fill="EDF7F2" w:val="clear"/>
        </w:rPr>
        <w:t>4. Actual Process, Equipment and Flow Mapping</w:t>
      </w:r>
    </w:p>
    <w:p>
      <w:pPr>
        <w:pStyle w:val="BodyText"/>
        <w:bidi w:val="0"/>
        <w:spacing w:lineRule="atLeast" w:line="320" w:before="240" w:after="360"/>
        <w:ind w:hanging="0" w:start="240" w:end="240"/>
        <w:jc w:val="center"/>
        <w:rPr>
          <w:color w:val="2D8A62"/>
        </w:rPr>
      </w:pPr>
      <w:r>
        <w:rPr>
          <w:color w:val="2D8A62"/>
        </w:rPr>
        <w:t>↓</w:t>
      </w:r>
    </w:p>
    <w:p>
      <w:pPr>
        <w:pStyle w:val="BodyText"/>
        <w:bidi w:val="0"/>
        <w:spacing w:before="240" w:after="360"/>
        <w:ind w:hanging="0" w:start="240" w:end="240"/>
        <w:jc w:val="center"/>
        <w:rPr>
          <w:b/>
          <w:color w:val="174F3C"/>
          <w:bdr w:val="single" w:sz="2" w:space="7" w:color="72AC92"/>
          <w:shd w:fill="EDF7F2" w:val="clear"/>
        </w:rPr>
      </w:pPr>
      <w:r>
        <w:rPr>
          <w:b/>
          <w:color w:val="174F3C"/>
          <w:bdr w:val="single" w:sz="2" w:space="7" w:color="72AC92"/>
          <w:shd w:fill="EDF7F2" w:val="clear"/>
        </w:rPr>
        <w:t>5. Deterministic Rule and Knowledge-Base Matching</w:t>
      </w:r>
    </w:p>
    <w:p>
      <w:pPr>
        <w:pStyle w:val="BodyText"/>
        <w:bidi w:val="0"/>
        <w:spacing w:lineRule="atLeast" w:line="320" w:before="240" w:after="360"/>
        <w:ind w:hanging="0" w:start="240" w:end="240"/>
        <w:jc w:val="center"/>
        <w:rPr>
          <w:color w:val="2D8A62"/>
        </w:rPr>
      </w:pPr>
      <w:r>
        <w:rPr>
          <w:color w:val="2D8A62"/>
        </w:rPr>
        <w:t>↓</w:t>
      </w:r>
    </w:p>
    <w:p>
      <w:pPr>
        <w:pStyle w:val="BodyText"/>
        <w:bidi w:val="0"/>
        <w:spacing w:before="240" w:after="360"/>
        <w:ind w:hanging="0" w:start="240" w:end="240"/>
        <w:jc w:val="center"/>
        <w:rPr>
          <w:b/>
          <w:color w:val="174F3C"/>
          <w:bdr w:val="single" w:sz="2" w:space="7" w:color="72AC92"/>
          <w:shd w:fill="EDF7F2" w:val="clear"/>
        </w:rPr>
      </w:pPr>
      <w:r>
        <w:rPr>
          <w:b/>
          <w:color w:val="174F3C"/>
          <w:bdr w:val="single" w:sz="2" w:space="7" w:color="72AC92"/>
          <w:shd w:fill="EDF7F2" w:val="clear"/>
        </w:rPr>
        <w:t>6. ML Candidate Detection and Gap Analysis</w:t>
      </w:r>
    </w:p>
    <w:p>
      <w:pPr>
        <w:pStyle w:val="BodyText"/>
        <w:bidi w:val="0"/>
        <w:spacing w:lineRule="atLeast" w:line="320" w:before="240" w:after="360"/>
        <w:ind w:hanging="0" w:start="240" w:end="240"/>
        <w:jc w:val="center"/>
        <w:rPr>
          <w:color w:val="2D8A62"/>
        </w:rPr>
      </w:pPr>
      <w:r>
        <w:rPr>
          <w:color w:val="2D8A62"/>
        </w:rPr>
        <w:t>↓</w:t>
      </w:r>
    </w:p>
    <w:p>
      <w:pPr>
        <w:pStyle w:val="BodyText"/>
        <w:bidi w:val="0"/>
        <w:spacing w:before="240" w:after="360"/>
        <w:ind w:hanging="0" w:start="240" w:end="240"/>
        <w:jc w:val="center"/>
        <w:rPr>
          <w:b/>
          <w:color w:val="174F3C"/>
          <w:bdr w:val="single" w:sz="2" w:space="7" w:color="72AC92"/>
          <w:shd w:fill="EDF7F2" w:val="clear"/>
        </w:rPr>
      </w:pPr>
      <w:r>
        <w:rPr>
          <w:b/>
          <w:color w:val="174F3C"/>
          <w:bdr w:val="single" w:sz="2" w:space="7" w:color="72AC92"/>
          <w:shd w:fill="EDF7F2" w:val="clear"/>
        </w:rPr>
        <w:t>7. Universal Completeness Checklist</w:t>
      </w:r>
    </w:p>
    <w:p>
      <w:pPr>
        <w:pStyle w:val="BodyText"/>
        <w:bidi w:val="0"/>
        <w:spacing w:lineRule="atLeast" w:line="320" w:before="240" w:after="360"/>
        <w:ind w:hanging="0" w:start="240" w:end="240"/>
        <w:jc w:val="center"/>
        <w:rPr>
          <w:color w:val="2D8A62"/>
        </w:rPr>
      </w:pPr>
      <w:r>
        <w:rPr>
          <w:color w:val="2D8A62"/>
        </w:rPr>
        <w:t>↓</w:t>
      </w:r>
    </w:p>
    <w:p>
      <w:pPr>
        <w:pStyle w:val="BodyText"/>
        <w:bidi w:val="0"/>
        <w:spacing w:before="240" w:after="360"/>
        <w:ind w:hanging="0" w:start="240" w:end="240"/>
        <w:jc w:val="center"/>
        <w:rPr>
          <w:b/>
          <w:color w:val="174F3C"/>
          <w:bdr w:val="single" w:sz="2" w:space="7" w:color="72AC92"/>
          <w:shd w:fill="EDF7F2" w:val="clear"/>
        </w:rPr>
      </w:pPr>
      <w:r>
        <w:rPr>
          <w:b/>
          <w:color w:val="174F3C"/>
          <w:bdr w:val="single" w:sz="2" w:space="7" w:color="72AC92"/>
          <w:shd w:fill="EDF7F2" w:val="clear"/>
        </w:rPr>
        <w:t>8. Dynamic Questions, Evidence and Verification</w:t>
      </w:r>
    </w:p>
    <w:p>
      <w:pPr>
        <w:pStyle w:val="BodyText"/>
        <w:bidi w:val="0"/>
        <w:spacing w:lineRule="atLeast" w:line="320" w:before="240" w:after="360"/>
        <w:ind w:hanging="0" w:start="240" w:end="240"/>
        <w:jc w:val="center"/>
        <w:rPr>
          <w:color w:val="2D8A62"/>
        </w:rPr>
      </w:pPr>
      <w:r>
        <w:rPr>
          <w:color w:val="2D8A62"/>
        </w:rPr>
        <w:t>↓</w:t>
      </w:r>
    </w:p>
    <w:p>
      <w:pPr>
        <w:pStyle w:val="BodyText"/>
        <w:bidi w:val="0"/>
        <w:spacing w:before="240" w:after="360"/>
        <w:ind w:hanging="0" w:start="240" w:end="240"/>
        <w:jc w:val="center"/>
        <w:rPr>
          <w:b/>
          <w:color w:val="174F3C"/>
          <w:bdr w:val="single" w:sz="2" w:space="7" w:color="72AC92"/>
          <w:shd w:fill="EDF7F2" w:val="clear"/>
        </w:rPr>
      </w:pPr>
      <w:r>
        <w:rPr>
          <w:b/>
          <w:color w:val="174F3C"/>
          <w:bdr w:val="single" w:sz="2" w:space="7" w:color="72AC92"/>
          <w:shd w:fill="EDF7F2" w:val="clear"/>
        </w:rPr>
        <w:t>9. Classification, Status and Confidence</w:t>
      </w:r>
    </w:p>
    <w:p>
      <w:pPr>
        <w:pStyle w:val="BodyText"/>
        <w:bidi w:val="0"/>
        <w:spacing w:lineRule="atLeast" w:line="320" w:before="240" w:after="360"/>
        <w:ind w:hanging="0" w:start="240" w:end="240"/>
        <w:jc w:val="center"/>
        <w:rPr>
          <w:color w:val="2D8A62"/>
        </w:rPr>
      </w:pPr>
      <w:r>
        <w:rPr>
          <w:color w:val="2D8A62"/>
        </w:rPr>
        <w:t>↓</w:t>
      </w:r>
    </w:p>
    <w:p>
      <w:pPr>
        <w:pStyle w:val="BodyText"/>
        <w:bidi w:val="0"/>
        <w:spacing w:before="240" w:after="360"/>
        <w:ind w:hanging="0" w:start="240" w:end="240"/>
        <w:jc w:val="center"/>
        <w:rPr>
          <w:b/>
          <w:color w:val="174F3C"/>
          <w:bdr w:val="single" w:sz="2" w:space="7" w:color="72AC92"/>
          <w:shd w:fill="EDF7F2" w:val="clear"/>
        </w:rPr>
      </w:pPr>
      <w:r>
        <w:rPr>
          <w:b/>
          <w:color w:val="174F3C"/>
          <w:bdr w:val="single" w:sz="2" w:space="7" w:color="72AC92"/>
          <w:shd w:fill="EDF7F2" w:val="clear"/>
        </w:rPr>
        <w:t>10. Final Emission Source Inventory</w:t>
      </w:r>
    </w:p>
    <w:p>
      <w:pPr>
        <w:pStyle w:val="Heading2"/>
        <w:bidi w:val="0"/>
        <w:rPr/>
      </w:pPr>
      <w:r>
        <w:rPr/>
        <w:t>2.1 How the components work together</w:t>
      </w:r>
    </w:p>
    <w:tbl>
      <w:tblPr>
        <w:tblW w:w="5185" w:type="dxa"/>
        <w:jc w:val="start"/>
        <w:tblInd w:w="0" w:type="dxa"/>
        <w:tblLayout w:type="fixed"/>
        <w:tblCellMar>
          <w:top w:w="28" w:type="dxa"/>
          <w:start w:w="28" w:type="dxa"/>
          <w:bottom w:w="28" w:type="dxa"/>
          <w:end w:w="28" w:type="dxa"/>
        </w:tblCellMar>
      </w:tblPr>
      <w:tblGrid>
        <w:gridCol w:w="1362"/>
        <w:gridCol w:w="1941"/>
        <w:gridCol w:w="1882"/>
      </w:tblGrid>
      <w:tr>
        <w:trPr/>
        <w:tc>
          <w:tcPr>
            <w:tcW w:w="1362" w:type="dxa"/>
            <w:tcBorders/>
            <w:vAlign w:val="center"/>
          </w:tcPr>
          <w:p>
            <w:pPr>
              <w:pStyle w:val="TableHeading"/>
              <w:suppressLineNumbers/>
              <w:shd w:fill="176B4D" w:val="clear"/>
              <w:bidi w:val="0"/>
              <w:spacing w:before="0" w:after="140"/>
              <w:jc w:val="start"/>
              <w:rPr/>
            </w:pPr>
            <w:r>
              <w:rPr/>
              <w:t>Component</w:t>
            </w:r>
          </w:p>
        </w:tc>
        <w:tc>
          <w:tcPr>
            <w:tcW w:w="1941" w:type="dxa"/>
            <w:tcBorders/>
            <w:vAlign w:val="center"/>
          </w:tcPr>
          <w:p>
            <w:pPr>
              <w:pStyle w:val="TableHeading"/>
              <w:suppressLineNumbers/>
              <w:shd w:fill="176B4D" w:val="clear"/>
              <w:bidi w:val="0"/>
              <w:spacing w:before="0" w:after="140"/>
              <w:jc w:val="start"/>
              <w:rPr/>
            </w:pPr>
            <w:r>
              <w:rPr/>
              <w:t>Primary responsibility</w:t>
            </w:r>
          </w:p>
        </w:tc>
        <w:tc>
          <w:tcPr>
            <w:tcW w:w="1882" w:type="dxa"/>
            <w:tcBorders/>
            <w:vAlign w:val="center"/>
          </w:tcPr>
          <w:p>
            <w:pPr>
              <w:pStyle w:val="TableHeading"/>
              <w:suppressLineNumbers/>
              <w:shd w:fill="176B4D" w:val="clear"/>
              <w:bidi w:val="0"/>
              <w:spacing w:before="0" w:after="140"/>
              <w:jc w:val="start"/>
              <w:rPr/>
            </w:pPr>
            <w:r>
              <w:rPr/>
              <w:t>Must not do</w:t>
            </w:r>
          </w:p>
        </w:tc>
      </w:tr>
      <w:tr>
        <w:trPr/>
        <w:tc>
          <w:tcPr>
            <w:tcW w:w="1362" w:type="dxa"/>
            <w:tcBorders/>
            <w:vAlign w:val="center"/>
          </w:tcPr>
          <w:p>
            <w:pPr>
              <w:pStyle w:val="TableContents"/>
              <w:bidi w:val="0"/>
              <w:spacing w:before="0" w:after="140"/>
              <w:rPr/>
            </w:pPr>
            <w:r>
              <w:rPr/>
              <w:t>Industry template</w:t>
            </w:r>
          </w:p>
        </w:tc>
        <w:tc>
          <w:tcPr>
            <w:tcW w:w="1941" w:type="dxa"/>
            <w:tcBorders/>
            <w:vAlign w:val="center"/>
          </w:tcPr>
          <w:p>
            <w:pPr>
              <w:pStyle w:val="TableContents"/>
              <w:bidi w:val="0"/>
              <w:spacing w:before="0" w:after="140"/>
              <w:rPr/>
            </w:pPr>
            <w:r>
              <w:rPr/>
              <w:t>Prefill likely processes, equipment and questions</w:t>
            </w:r>
          </w:p>
        </w:tc>
        <w:tc>
          <w:tcPr>
            <w:tcW w:w="1882" w:type="dxa"/>
            <w:tcBorders/>
            <w:vAlign w:val="center"/>
          </w:tcPr>
          <w:p>
            <w:pPr>
              <w:pStyle w:val="TableContents"/>
              <w:bidi w:val="0"/>
              <w:spacing w:before="0" w:after="140"/>
              <w:rPr/>
            </w:pPr>
            <w:r>
              <w:rPr/>
              <w:t>Assume that every industry-default source exists</w:t>
            </w:r>
          </w:p>
        </w:tc>
      </w:tr>
      <w:tr>
        <w:trPr/>
        <w:tc>
          <w:tcPr>
            <w:tcW w:w="1362" w:type="dxa"/>
            <w:tcBorders/>
            <w:vAlign w:val="center"/>
          </w:tcPr>
          <w:p>
            <w:pPr>
              <w:pStyle w:val="TableContents"/>
              <w:bidi w:val="0"/>
              <w:spacing w:before="0" w:after="140"/>
              <w:rPr/>
            </w:pPr>
            <w:r>
              <w:rPr/>
              <w:t>Rule engine</w:t>
            </w:r>
          </w:p>
        </w:tc>
        <w:tc>
          <w:tcPr>
            <w:tcW w:w="1941" w:type="dxa"/>
            <w:tcBorders/>
            <w:vAlign w:val="center"/>
          </w:tcPr>
          <w:p>
            <w:pPr>
              <w:pStyle w:val="TableContents"/>
              <w:bidi w:val="0"/>
              <w:spacing w:before="0" w:after="140"/>
              <w:rPr/>
            </w:pPr>
            <w:r>
              <w:rPr/>
              <w:t>Convert explicit facts into explainable candidate sources</w:t>
            </w:r>
          </w:p>
        </w:tc>
        <w:tc>
          <w:tcPr>
            <w:tcW w:w="1882" w:type="dxa"/>
            <w:tcBorders/>
            <w:vAlign w:val="center"/>
          </w:tcPr>
          <w:p>
            <w:pPr>
              <w:pStyle w:val="TableContents"/>
              <w:bidi w:val="0"/>
              <w:spacing w:before="0" w:after="140"/>
              <w:rPr/>
            </w:pPr>
            <w:r>
              <w:rPr/>
              <w:t>Invent facts not supplied by the user</w:t>
            </w:r>
          </w:p>
        </w:tc>
      </w:tr>
      <w:tr>
        <w:trPr/>
        <w:tc>
          <w:tcPr>
            <w:tcW w:w="1362" w:type="dxa"/>
            <w:tcBorders/>
            <w:vAlign w:val="center"/>
          </w:tcPr>
          <w:p>
            <w:pPr>
              <w:pStyle w:val="TableContents"/>
              <w:bidi w:val="0"/>
              <w:spacing w:before="0" w:after="140"/>
              <w:rPr/>
            </w:pPr>
            <w:r>
              <w:rPr/>
              <w:t>ML engine</w:t>
            </w:r>
          </w:p>
        </w:tc>
        <w:tc>
          <w:tcPr>
            <w:tcW w:w="1941" w:type="dxa"/>
            <w:tcBorders/>
            <w:vAlign w:val="center"/>
          </w:tcPr>
          <w:p>
            <w:pPr>
              <w:pStyle w:val="TableContents"/>
              <w:bidi w:val="0"/>
              <w:spacing w:before="0" w:after="140"/>
              <w:rPr/>
            </w:pPr>
            <w:r>
              <w:rPr/>
              <w:t>Extract entities, rank implicit candidates and expose omissions</w:t>
            </w:r>
          </w:p>
        </w:tc>
        <w:tc>
          <w:tcPr>
            <w:tcW w:w="1882" w:type="dxa"/>
            <w:tcBorders/>
            <w:vAlign w:val="center"/>
          </w:tcPr>
          <w:p>
            <w:pPr>
              <w:pStyle w:val="TableContents"/>
              <w:bidi w:val="0"/>
              <w:spacing w:before="0" w:after="140"/>
              <w:rPr/>
            </w:pPr>
            <w:r>
              <w:rPr/>
              <w:t>Independently confirm a source</w:t>
            </w:r>
          </w:p>
        </w:tc>
      </w:tr>
      <w:tr>
        <w:trPr/>
        <w:tc>
          <w:tcPr>
            <w:tcW w:w="1362" w:type="dxa"/>
            <w:tcBorders/>
            <w:vAlign w:val="center"/>
          </w:tcPr>
          <w:p>
            <w:pPr>
              <w:pStyle w:val="TableContents"/>
              <w:bidi w:val="0"/>
              <w:spacing w:before="0" w:after="140"/>
              <w:rPr/>
            </w:pPr>
            <w:r>
              <w:rPr/>
              <w:t>Universal checklist</w:t>
            </w:r>
          </w:p>
        </w:tc>
        <w:tc>
          <w:tcPr>
            <w:tcW w:w="1941" w:type="dxa"/>
            <w:tcBorders/>
            <w:vAlign w:val="center"/>
          </w:tcPr>
          <w:p>
            <w:pPr>
              <w:pStyle w:val="TableContents"/>
              <w:bidi w:val="0"/>
              <w:spacing w:before="0" w:after="140"/>
              <w:rPr/>
            </w:pPr>
            <w:r>
              <w:rPr/>
              <w:t>Test all major source families for completeness</w:t>
            </w:r>
          </w:p>
        </w:tc>
        <w:tc>
          <w:tcPr>
            <w:tcW w:w="1882" w:type="dxa"/>
            <w:tcBorders/>
            <w:vAlign w:val="center"/>
          </w:tcPr>
          <w:p>
            <w:pPr>
              <w:pStyle w:val="TableContents"/>
              <w:bidi w:val="0"/>
              <w:spacing w:before="0" w:after="140"/>
              <w:rPr/>
            </w:pPr>
            <w:r>
              <w:rPr/>
              <w:t>Replace detailed process mapping</w:t>
            </w:r>
          </w:p>
        </w:tc>
      </w:tr>
      <w:tr>
        <w:trPr/>
        <w:tc>
          <w:tcPr>
            <w:tcW w:w="1362" w:type="dxa"/>
            <w:tcBorders/>
            <w:vAlign w:val="center"/>
          </w:tcPr>
          <w:p>
            <w:pPr>
              <w:pStyle w:val="TableContents"/>
              <w:bidi w:val="0"/>
              <w:spacing w:before="0" w:after="140"/>
              <w:rPr/>
            </w:pPr>
            <w:r>
              <w:rPr/>
              <w:t>Verification layer</w:t>
            </w:r>
          </w:p>
        </w:tc>
        <w:tc>
          <w:tcPr>
            <w:tcW w:w="1941" w:type="dxa"/>
            <w:tcBorders/>
            <w:vAlign w:val="center"/>
          </w:tcPr>
          <w:p>
            <w:pPr>
              <w:pStyle w:val="TableContents"/>
              <w:bidi w:val="0"/>
              <w:spacing w:before="0" w:after="140"/>
              <w:rPr/>
            </w:pPr>
            <w:r>
              <w:rPr/>
              <w:t>Collect user answers and documentary evidence</w:t>
            </w:r>
          </w:p>
        </w:tc>
        <w:tc>
          <w:tcPr>
            <w:tcW w:w="1882" w:type="dxa"/>
            <w:tcBorders/>
            <w:vAlign w:val="center"/>
          </w:tcPr>
          <w:p>
            <w:pPr>
              <w:pStyle w:val="TableContents"/>
              <w:bidi w:val="0"/>
              <w:spacing w:before="0" w:after="140"/>
              <w:rPr/>
            </w:pPr>
            <w:r>
              <w:rPr/>
              <w:t>Hide missing information</w:t>
            </w:r>
          </w:p>
        </w:tc>
      </w:tr>
      <w:tr>
        <w:trPr/>
        <w:tc>
          <w:tcPr>
            <w:tcW w:w="1362" w:type="dxa"/>
            <w:tcBorders/>
            <w:vAlign w:val="center"/>
          </w:tcPr>
          <w:p>
            <w:pPr>
              <w:pStyle w:val="TableContents"/>
              <w:bidi w:val="0"/>
              <w:spacing w:before="0" w:after="140"/>
              <w:rPr/>
            </w:pPr>
            <w:r>
              <w:rPr/>
              <w:t>Inventory generator</w:t>
            </w:r>
          </w:p>
        </w:tc>
        <w:tc>
          <w:tcPr>
            <w:tcW w:w="1941" w:type="dxa"/>
            <w:tcBorders/>
            <w:vAlign w:val="center"/>
          </w:tcPr>
          <w:p>
            <w:pPr>
              <w:pStyle w:val="TableContents"/>
              <w:bidi w:val="0"/>
              <w:spacing w:before="0" w:after="140"/>
              <w:rPr/>
            </w:pPr>
            <w:r>
              <w:rPr/>
              <w:t>Create a versioned, traceable source register</w:t>
            </w:r>
          </w:p>
        </w:tc>
        <w:tc>
          <w:tcPr>
            <w:tcW w:w="1882" w:type="dxa"/>
            <w:tcBorders/>
            <w:vAlign w:val="center"/>
          </w:tcPr>
          <w:p>
            <w:pPr>
              <w:pStyle w:val="TableContents"/>
              <w:bidi w:val="0"/>
              <w:spacing w:before="0" w:after="140"/>
              <w:rPr/>
            </w:pPr>
            <w:r>
              <w:rPr/>
              <w:t>Calculate emissions at this stage</w:t>
            </w:r>
          </w:p>
        </w:tc>
      </w:tr>
    </w:tbl>
    <w:p>
      <w:pPr>
        <w:pStyle w:val="Heading1"/>
        <w:bidi w:val="0"/>
        <w:ind w:hanging="0" w:start="0" w:end="0"/>
        <w:rPr/>
      </w:pPr>
      <w:r>
        <w:rPr/>
        <w:t>3. Layered engine design</w:t>
      </w:r>
    </w:p>
    <w:p>
      <w:pPr>
        <w:pStyle w:val="BodyText"/>
        <w:bidi w:val="0"/>
        <w:spacing w:before="320" w:after="140"/>
        <w:ind w:hanging="0" w:start="0" w:end="0"/>
        <w:rPr>
          <w:b/>
          <w:color w:val="FFFFFF"/>
          <w:sz w:val="26"/>
          <w:shd w:fill="176B4D" w:val="clear"/>
        </w:rPr>
      </w:pPr>
      <w:r>
        <w:rPr>
          <w:b/>
          <w:color w:val="FFFFFF"/>
          <w:sz w:val="26"/>
          <w:shd w:fill="176B4D" w:val="clear"/>
        </w:rPr>
        <w:t>Layer 1 — Company, facility and reporting boundary</w:t>
      </w:r>
    </w:p>
    <w:p>
      <w:pPr>
        <w:pStyle w:val="BodyText"/>
        <w:bidi w:val="0"/>
        <w:spacing w:before="0" w:after="240"/>
        <w:ind w:hanging="0" w:start="0" w:end="0"/>
        <w:rPr>
          <w:bdr w:val="single" w:sz="2" w:space="12" w:color="A8C4B7"/>
        </w:rPr>
      </w:pPr>
      <w:r>
        <w:rPr>
          <w:b/>
          <w:color w:val="145A43"/>
          <w:bdr w:val="single" w:sz="2" w:space="12" w:color="A8C4B7"/>
        </w:rPr>
        <w:t>Purpose:</w:t>
      </w:r>
      <w:r>
        <w:rPr>
          <w:bdr w:val="single" w:sz="2" w:space="12" w:color="A8C4B7"/>
        </w:rPr>
        <w:t xml:space="preserve"> Establish what operations are inside the assessment and who controls them.</w:t>
      </w:r>
    </w:p>
    <w:p>
      <w:pPr>
        <w:pStyle w:val="BodyText"/>
        <w:bidi w:val="0"/>
        <w:spacing w:before="0" w:after="240"/>
        <w:ind w:hanging="0" w:start="0" w:end="0"/>
        <w:rPr>
          <w:bdr w:val="single" w:sz="2" w:space="12" w:color="A8C4B7"/>
        </w:rPr>
      </w:pPr>
      <w:r>
        <w:rPr>
          <w:b/>
          <w:color w:val="145A43"/>
          <w:bdr w:val="single" w:sz="2" w:space="12" w:color="A8C4B7"/>
        </w:rPr>
        <w:t>Inputs:</w:t>
      </w:r>
      <w:r>
        <w:rPr>
          <w:bdr w:val="single" w:sz="2" w:space="12" w:color="A8C4B7"/>
        </w:rPr>
        <w:t xml:space="preserve"> Company name, facility location, reporting period, facility ownership, operating shifts, production capacity, owned/leased assets, onsite operations and outsourced operations.</w:t>
      </w:r>
    </w:p>
    <w:p>
      <w:pPr>
        <w:pStyle w:val="BodyText"/>
        <w:bidi w:val="0"/>
        <w:spacing w:before="0" w:after="240"/>
        <w:ind w:hanging="0" w:start="0" w:end="0"/>
        <w:rPr>
          <w:b/>
          <w:color w:val="145A43"/>
          <w:bdr w:val="single" w:sz="2" w:space="12" w:color="A8C4B7"/>
        </w:rPr>
      </w:pPr>
      <w:r>
        <w:rPr>
          <w:b/>
          <w:color w:val="145A43"/>
          <w:bdr w:val="single" w:sz="2" w:space="12" w:color="A8C4B7"/>
        </w:rPr>
        <w:t>Key questions:</w:t>
      </w:r>
    </w:p>
    <w:p>
      <w:pPr>
        <w:pStyle w:val="BodyText"/>
        <w:numPr>
          <w:ilvl w:val="0"/>
          <w:numId w:val="2"/>
        </w:numPr>
        <w:tabs>
          <w:tab w:val="clear" w:pos="1134"/>
          <w:tab w:val="left" w:pos="709" w:leader="none"/>
        </w:tabs>
        <w:bidi w:val="0"/>
        <w:spacing w:before="0" w:after="240"/>
        <w:ind w:hanging="283" w:start="709"/>
        <w:rPr>
          <w:bdr w:val="single" w:sz="2" w:space="12" w:color="A8C4B7"/>
        </w:rPr>
      </w:pPr>
      <w:r>
        <w:rPr>
          <w:bdr w:val="single" w:sz="2" w:space="12" w:color="A8C4B7"/>
        </w:rPr>
        <w:t xml:space="preserve">Which facility or facilities are being assessed? </w:t>
      </w:r>
    </w:p>
    <w:p>
      <w:pPr>
        <w:pStyle w:val="BodyText"/>
        <w:numPr>
          <w:ilvl w:val="0"/>
          <w:numId w:val="2"/>
        </w:numPr>
        <w:tabs>
          <w:tab w:val="clear" w:pos="1134"/>
          <w:tab w:val="left" w:pos="709" w:leader="none"/>
        </w:tabs>
        <w:bidi w:val="0"/>
        <w:spacing w:before="0" w:after="240"/>
        <w:ind w:hanging="283" w:start="709"/>
        <w:rPr>
          <w:bdr w:val="single" w:sz="2" w:space="12" w:color="A8C4B7"/>
        </w:rPr>
      </w:pPr>
      <w:r>
        <w:rPr>
          <w:bdr w:val="single" w:sz="2" w:space="12" w:color="A8C4B7"/>
        </w:rPr>
        <w:t xml:space="preserve">Which equipment and vehicles are owned, leased or operated by the company? </w:t>
      </w:r>
    </w:p>
    <w:p>
      <w:pPr>
        <w:pStyle w:val="BodyText"/>
        <w:numPr>
          <w:ilvl w:val="0"/>
          <w:numId w:val="2"/>
        </w:numPr>
        <w:tabs>
          <w:tab w:val="clear" w:pos="1134"/>
          <w:tab w:val="left" w:pos="709" w:leader="none"/>
        </w:tabs>
        <w:bidi w:val="0"/>
        <w:spacing w:before="0" w:after="240"/>
        <w:ind w:hanging="283" w:start="709"/>
        <w:rPr>
          <w:bdr w:val="single" w:sz="2" w:space="12" w:color="A8C4B7"/>
        </w:rPr>
      </w:pPr>
      <w:r>
        <w:rPr>
          <w:bdr w:val="single" w:sz="2" w:space="12" w:color="A8C4B7"/>
        </w:rPr>
        <w:t xml:space="preserve">Which production steps are performed by third parties? </w:t>
      </w:r>
    </w:p>
    <w:p>
      <w:pPr>
        <w:pStyle w:val="BodyText"/>
        <w:numPr>
          <w:ilvl w:val="0"/>
          <w:numId w:val="2"/>
        </w:numPr>
        <w:tabs>
          <w:tab w:val="clear" w:pos="1134"/>
          <w:tab w:val="left" w:pos="709" w:leader="none"/>
        </w:tabs>
        <w:bidi w:val="0"/>
        <w:spacing w:before="0" w:after="240"/>
        <w:ind w:hanging="283" w:start="709"/>
        <w:rPr>
          <w:bdr w:val="single" w:sz="2" w:space="12" w:color="A8C4B7"/>
        </w:rPr>
      </w:pPr>
      <w:r>
        <w:rPr>
          <w:bdr w:val="single" w:sz="2" w:space="12" w:color="A8C4B7"/>
        </w:rPr>
        <w:t xml:space="preserve">Is waste or wastewater treated onsite or externally? </w:t>
      </w:r>
    </w:p>
    <w:p>
      <w:pPr>
        <w:pStyle w:val="BodyText"/>
        <w:bidi w:val="0"/>
        <w:spacing w:before="0" w:after="240"/>
        <w:ind w:hanging="0" w:start="0" w:end="0"/>
        <w:rPr>
          <w:bdr w:val="single" w:sz="2" w:space="12" w:color="A8C4B7"/>
        </w:rPr>
      </w:pPr>
      <w:r>
        <w:rPr>
          <w:b/>
          <w:color w:val="145A43"/>
          <w:bdr w:val="single" w:sz="2" w:space="12" w:color="A8C4B7"/>
        </w:rPr>
        <w:t>Output:</w:t>
      </w:r>
      <w:r>
        <w:rPr>
          <w:bdr w:val="single" w:sz="2" w:space="12" w:color="A8C4B7"/>
        </w:rPr>
        <w:t xml:space="preserve"> A defined operational boundary used by later scope classification.</w:t>
      </w:r>
    </w:p>
    <w:p>
      <w:pPr>
        <w:pStyle w:val="BodyText"/>
        <w:bidi w:val="0"/>
        <w:spacing w:before="320" w:after="140"/>
        <w:ind w:hanging="0" w:start="0" w:end="0"/>
        <w:rPr>
          <w:b/>
          <w:color w:val="FFFFFF"/>
          <w:sz w:val="26"/>
          <w:shd w:fill="176B4D" w:val="clear"/>
        </w:rPr>
      </w:pPr>
      <w:r>
        <w:rPr>
          <w:b/>
          <w:color w:val="FFFFFF"/>
          <w:sz w:val="26"/>
          <w:shd w:fill="176B4D" w:val="clear"/>
        </w:rPr>
        <w:t>Layer 2 — Industry, sub-industry and product intelligence</w:t>
      </w:r>
    </w:p>
    <w:p>
      <w:pPr>
        <w:pStyle w:val="BodyText"/>
        <w:bidi w:val="0"/>
        <w:spacing w:before="0" w:after="240"/>
        <w:ind w:hanging="0" w:start="0" w:end="0"/>
        <w:rPr>
          <w:bdr w:val="single" w:sz="2" w:space="12" w:color="A8C4B7"/>
        </w:rPr>
      </w:pPr>
      <w:r>
        <w:rPr>
          <w:b/>
          <w:color w:val="145A43"/>
          <w:bdr w:val="single" w:sz="2" w:space="12" w:color="A8C4B7"/>
        </w:rPr>
        <w:t>Purpose:</w:t>
      </w:r>
      <w:r>
        <w:rPr>
          <w:bdr w:val="single" w:sz="2" w:space="12" w:color="A8C4B7"/>
        </w:rPr>
        <w:t xml:space="preserve"> Narrow the discovery space and load relevant process knowledge.</w:t>
      </w:r>
    </w:p>
    <w:p>
      <w:pPr>
        <w:pStyle w:val="BodyText"/>
        <w:bidi w:val="0"/>
        <w:spacing w:before="0" w:after="240"/>
        <w:ind w:hanging="0" w:start="0" w:end="0"/>
        <w:rPr>
          <w:bdr w:val="single" w:sz="2" w:space="12" w:color="A8C4B7"/>
        </w:rPr>
      </w:pPr>
      <w:r>
        <w:rPr>
          <w:b/>
          <w:color w:val="145A43"/>
          <w:bdr w:val="single" w:sz="2" w:space="12" w:color="A8C4B7"/>
        </w:rPr>
        <w:t>Inputs:</w:t>
      </w:r>
      <w:r>
        <w:rPr>
          <w:bdr w:val="single" w:sz="2" w:space="12" w:color="A8C4B7"/>
        </w:rPr>
        <w:t xml:space="preserve"> Industry, sub-industry, product names, product variants, production method and production unit.</w:t>
      </w:r>
    </w:p>
    <w:p>
      <w:pPr>
        <w:pStyle w:val="BodyText"/>
        <w:bidi w:val="0"/>
        <w:spacing w:before="0" w:after="240"/>
        <w:ind w:hanging="0" w:start="0" w:end="0"/>
        <w:rPr>
          <w:bdr w:val="single" w:sz="2" w:space="12" w:color="A8C4B7"/>
        </w:rPr>
      </w:pPr>
      <w:r>
        <w:rPr>
          <w:b/>
          <w:color w:val="145A43"/>
          <w:bdr w:val="single" w:sz="2" w:space="12" w:color="A8C4B7"/>
        </w:rPr>
        <w:t>Behaviour:</w:t>
      </w:r>
      <w:r>
        <w:rPr>
          <w:bdr w:val="single" w:sz="2" w:space="12" w:color="A8C4B7"/>
        </w:rPr>
        <w:t xml:space="preserve"> The engine loads a versioned template of likely processes, equipment, inputs, outputs and hidden-source questions. The user must confirm, reject, modify or add each item.</w:t>
      </w:r>
    </w:p>
    <w:p>
      <w:pPr>
        <w:pStyle w:val="BodyText"/>
        <w:bidi w:val="0"/>
        <w:spacing w:before="0" w:after="240"/>
        <w:ind w:hanging="0" w:start="0" w:end="0"/>
        <w:rPr>
          <w:bdr w:val="single" w:sz="2" w:space="12" w:color="A8C4B7"/>
        </w:rPr>
      </w:pPr>
      <w:r>
        <w:rPr>
          <w:b/>
          <w:color w:val="145A43"/>
          <w:bdr w:val="single" w:sz="2" w:space="12" w:color="A8C4B7"/>
        </w:rPr>
        <w:t>Fallback:</w:t>
      </w:r>
      <w:r>
        <w:rPr>
          <w:bdr w:val="single" w:sz="2" w:space="12" w:color="A8C4B7"/>
        </w:rPr>
        <w:t xml:space="preserve"> If no detailed industry template exists, use the universal process questionnaire. All industries remain usable, but only supported sectors receive specialized prompts.</w:t>
      </w:r>
    </w:p>
    <w:p>
      <w:pPr>
        <w:pStyle w:val="BodyText"/>
        <w:bidi w:val="0"/>
        <w:spacing w:before="0" w:after="240"/>
        <w:ind w:hanging="0" w:start="0" w:end="0"/>
        <w:rPr>
          <w:bdr w:val="single" w:sz="2" w:space="12" w:color="A8C4B7"/>
        </w:rPr>
      </w:pPr>
      <w:r>
        <w:rPr>
          <w:b/>
          <w:color w:val="145A43"/>
          <w:bdr w:val="single" w:sz="2" w:space="12" w:color="A8C4B7"/>
        </w:rPr>
        <w:t>MVP templates:</w:t>
      </w:r>
      <w:r>
        <w:rPr>
          <w:bdr w:val="single" w:sz="2" w:space="12" w:color="A8C4B7"/>
        </w:rPr>
        <w:t xml:space="preserve"> Food processing as the complete primary template; textile as the secondary preset; “Other” as the universal fallback.</w:t>
      </w:r>
    </w:p>
    <w:p>
      <w:pPr>
        <w:pStyle w:val="BodyText"/>
        <w:bidi w:val="0"/>
        <w:spacing w:before="320" w:after="140"/>
        <w:ind w:hanging="0" w:start="0" w:end="0"/>
        <w:rPr>
          <w:b/>
          <w:color w:val="FFFFFF"/>
          <w:sz w:val="26"/>
          <w:shd w:fill="176B4D" w:val="clear"/>
        </w:rPr>
      </w:pPr>
      <w:r>
        <w:rPr>
          <w:b/>
          <w:color w:val="FFFFFF"/>
          <w:sz w:val="26"/>
          <w:shd w:fill="176B4D" w:val="clear"/>
        </w:rPr>
        <w:t>Layer 3 — Actual process-flow mapping</w:t>
      </w:r>
    </w:p>
    <w:p>
      <w:pPr>
        <w:pStyle w:val="BodyText"/>
        <w:bidi w:val="0"/>
        <w:spacing w:before="0" w:after="240"/>
        <w:ind w:hanging="0" w:start="0" w:end="0"/>
        <w:rPr>
          <w:bdr w:val="single" w:sz="2" w:space="12" w:color="A8C4B7"/>
        </w:rPr>
      </w:pPr>
      <w:r>
        <w:rPr>
          <w:b/>
          <w:color w:val="145A43"/>
          <w:bdr w:val="single" w:sz="2" w:space="12" w:color="A8C4B7"/>
        </w:rPr>
        <w:t>Purpose:</w:t>
      </w:r>
      <w:r>
        <w:rPr>
          <w:bdr w:val="single" w:sz="2" w:space="12" w:color="A8C4B7"/>
        </w:rPr>
        <w:t xml:space="preserve"> Replace broad industry assumptions with the facility’s real operating sequence.</w:t>
      </w:r>
    </w:p>
    <w:p>
      <w:pPr>
        <w:pStyle w:val="BodyText"/>
        <w:bidi w:val="0"/>
        <w:spacing w:before="0" w:after="240"/>
        <w:rPr>
          <w:bdr w:val="single" w:sz="2" w:space="12" w:color="A8C4B7"/>
        </w:rPr>
      </w:pPr>
      <w:r>
        <w:rPr>
          <w:bdr w:val="single" w:sz="2" w:space="12" w:color="A8C4B7"/>
        </w:rPr>
        <w:t>The user confirms or builds a flow such as:</w:t>
      </w:r>
    </w:p>
    <w:p>
      <w:pPr>
        <w:pStyle w:val="BodyText"/>
        <w:keepLines/>
        <w:bidi w:val="0"/>
        <w:spacing w:before="160" w:after="240"/>
        <w:ind w:hanging="0" w:start="160" w:end="160"/>
        <w:rPr>
          <w:rFonts w:ascii="Liberation Mono;Consolas;monospace" w:hAnsi="Liberation Mono;Consolas;monospace"/>
          <w:color w:val="385148"/>
          <w:sz w:val="18"/>
        </w:rPr>
      </w:pPr>
      <w:r>
        <w:rPr>
          <w:rFonts w:ascii="Liberation Mono;Consolas;monospace" w:hAnsi="Liberation Mono;Consolas;monospace"/>
          <w:color w:val="385148"/>
          <w:sz w:val="18"/>
        </w:rPr>
        <w:t>Raw-material receipt → Storage → Preparation → Processing → Cooling/Finishing → Packaging → Waste treatment → Dispatch</w:t>
      </w:r>
    </w:p>
    <w:p>
      <w:pPr>
        <w:pStyle w:val="BodyText"/>
        <w:bidi w:val="0"/>
        <w:spacing w:before="0" w:after="240"/>
        <w:rPr>
          <w:bdr w:val="single" w:sz="2" w:space="12" w:color="A8C4B7"/>
        </w:rPr>
      </w:pPr>
      <w:r>
        <w:rPr>
          <w:bdr w:val="single" w:sz="2" w:space="12" w:color="A8C4B7"/>
        </w:rPr>
        <w:t>Every step records its location, ownership, operating mode, upstream/downstream connection, and whether it is onsite or outsourced. Custom process steps must always be supported.</w:t>
      </w:r>
    </w:p>
    <w:p>
      <w:pPr>
        <w:pStyle w:val="BodyText"/>
        <w:bidi w:val="0"/>
        <w:spacing w:before="0" w:after="240"/>
        <w:ind w:hanging="0" w:start="0" w:end="0"/>
        <w:rPr>
          <w:bdr w:val="single" w:sz="2" w:space="12" w:color="A8C4B7"/>
        </w:rPr>
      </w:pPr>
      <w:r>
        <w:rPr>
          <w:b/>
          <w:color w:val="145A43"/>
          <w:bdr w:val="single" w:sz="2" w:space="12" w:color="A8C4B7"/>
        </w:rPr>
        <w:t>Output:</w:t>
      </w:r>
      <w:r>
        <w:rPr>
          <w:bdr w:val="single" w:sz="2" w:space="12" w:color="A8C4B7"/>
        </w:rPr>
        <w:t xml:space="preserve"> A facility-specific process graph or ordered process list.</w:t>
      </w:r>
    </w:p>
    <w:p>
      <w:pPr>
        <w:pStyle w:val="BodyText"/>
        <w:bidi w:val="0"/>
        <w:spacing w:before="320" w:after="140"/>
        <w:ind w:hanging="0" w:start="0" w:end="0"/>
        <w:rPr>
          <w:b/>
          <w:color w:val="FFFFFF"/>
          <w:sz w:val="26"/>
          <w:shd w:fill="176B4D" w:val="clear"/>
        </w:rPr>
      </w:pPr>
      <w:r>
        <w:rPr>
          <w:b/>
          <w:color w:val="FFFFFF"/>
          <w:sz w:val="26"/>
          <w:shd w:fill="176B4D" w:val="clear"/>
        </w:rPr>
        <w:t>Layer 4 — Equipment and input/output mapper</w:t>
      </w:r>
    </w:p>
    <w:p>
      <w:pPr>
        <w:pStyle w:val="BodyText"/>
        <w:bidi w:val="0"/>
        <w:spacing w:before="0" w:after="240"/>
        <w:ind w:hanging="0" w:start="0" w:end="0"/>
        <w:rPr>
          <w:bdr w:val="single" w:sz="2" w:space="12" w:color="A8C4B7"/>
        </w:rPr>
      </w:pPr>
      <w:r>
        <w:rPr>
          <w:b/>
          <w:color w:val="145A43"/>
          <w:bdr w:val="single" w:sz="2" w:space="12" w:color="A8C4B7"/>
        </w:rPr>
        <w:t>Purpose:</w:t>
      </w:r>
      <w:r>
        <w:rPr>
          <w:bdr w:val="single" w:sz="2" w:space="12" w:color="A8C4B7"/>
        </w:rPr>
        <w:t xml:space="preserve"> Discover emission-generating mechanisms at each process step.</w:t>
      </w:r>
    </w:p>
    <w:tbl>
      <w:tblPr>
        <w:tblW w:w="5185" w:type="dxa"/>
        <w:jc w:val="start"/>
        <w:tblInd w:w="0" w:type="dxa"/>
        <w:tblLayout w:type="fixed"/>
        <w:tblCellMar>
          <w:top w:w="28" w:type="dxa"/>
          <w:start w:w="28" w:type="dxa"/>
          <w:bottom w:w="28" w:type="dxa"/>
          <w:end w:w="28" w:type="dxa"/>
        </w:tblCellMar>
      </w:tblPr>
      <w:tblGrid>
        <w:gridCol w:w="1545"/>
        <w:gridCol w:w="3640"/>
      </w:tblGrid>
      <w:tr>
        <w:trPr/>
        <w:tc>
          <w:tcPr>
            <w:tcW w:w="1545" w:type="dxa"/>
            <w:tcBorders/>
            <w:vAlign w:val="center"/>
          </w:tcPr>
          <w:p>
            <w:pPr>
              <w:pStyle w:val="TableHeading"/>
              <w:suppressLineNumbers/>
              <w:shd w:fill="176B4D" w:val="clear"/>
              <w:bidi w:val="0"/>
              <w:spacing w:before="0" w:after="140"/>
              <w:jc w:val="start"/>
              <w:rPr/>
            </w:pPr>
            <w:r>
              <w:rPr/>
              <w:t>Dimension</w:t>
            </w:r>
          </w:p>
        </w:tc>
        <w:tc>
          <w:tcPr>
            <w:tcW w:w="3640" w:type="dxa"/>
            <w:tcBorders/>
            <w:vAlign w:val="center"/>
          </w:tcPr>
          <w:p>
            <w:pPr>
              <w:pStyle w:val="TableHeading"/>
              <w:suppressLineNumbers/>
              <w:shd w:fill="176B4D" w:val="clear"/>
              <w:bidi w:val="0"/>
              <w:spacing w:before="0" w:after="140"/>
              <w:jc w:val="start"/>
              <w:rPr/>
            </w:pPr>
            <w:r>
              <w:rPr/>
              <w:t>Examples to collect</w:t>
            </w:r>
          </w:p>
        </w:tc>
      </w:tr>
      <w:tr>
        <w:trPr/>
        <w:tc>
          <w:tcPr>
            <w:tcW w:w="1545" w:type="dxa"/>
            <w:tcBorders/>
            <w:vAlign w:val="center"/>
          </w:tcPr>
          <w:p>
            <w:pPr>
              <w:pStyle w:val="TableContents"/>
              <w:bidi w:val="0"/>
              <w:spacing w:before="0" w:after="140"/>
              <w:rPr/>
            </w:pPr>
            <w:r>
              <w:rPr/>
              <w:t>Equipment</w:t>
            </w:r>
          </w:p>
        </w:tc>
        <w:tc>
          <w:tcPr>
            <w:tcW w:w="3640" w:type="dxa"/>
            <w:tcBorders/>
            <w:vAlign w:val="center"/>
          </w:tcPr>
          <w:p>
            <w:pPr>
              <w:pStyle w:val="TableContents"/>
              <w:bidi w:val="0"/>
              <w:spacing w:before="0" w:after="140"/>
              <w:rPr/>
            </w:pPr>
            <w:r>
              <w:rPr/>
              <w:t>Boilers, furnaces, kilns, ovens, dryers, generators, compressors, motors, refrigeration, treatment plants, forklifts</w:t>
            </w:r>
          </w:p>
        </w:tc>
      </w:tr>
      <w:tr>
        <w:trPr/>
        <w:tc>
          <w:tcPr>
            <w:tcW w:w="1545" w:type="dxa"/>
            <w:tcBorders/>
            <w:vAlign w:val="center"/>
          </w:tcPr>
          <w:p>
            <w:pPr>
              <w:pStyle w:val="TableContents"/>
              <w:bidi w:val="0"/>
              <w:spacing w:before="0" w:after="140"/>
              <w:rPr/>
            </w:pPr>
            <w:r>
              <w:rPr/>
              <w:t>Energy and fuels</w:t>
            </w:r>
          </w:p>
        </w:tc>
        <w:tc>
          <w:tcPr>
            <w:tcW w:w="3640" w:type="dxa"/>
            <w:tcBorders/>
            <w:vAlign w:val="center"/>
          </w:tcPr>
          <w:p>
            <w:pPr>
              <w:pStyle w:val="TableContents"/>
              <w:bidi w:val="0"/>
              <w:spacing w:before="0" w:after="140"/>
              <w:rPr/>
            </w:pPr>
            <w:r>
              <w:rPr/>
              <w:t>Grid electricity, purchased steam, diesel, coal, LPG, natural gas, biomass, onsite renewable electricity</w:t>
            </w:r>
          </w:p>
        </w:tc>
      </w:tr>
      <w:tr>
        <w:trPr/>
        <w:tc>
          <w:tcPr>
            <w:tcW w:w="1545" w:type="dxa"/>
            <w:tcBorders/>
            <w:vAlign w:val="center"/>
          </w:tcPr>
          <w:p>
            <w:pPr>
              <w:pStyle w:val="TableContents"/>
              <w:bidi w:val="0"/>
              <w:spacing w:before="0" w:after="140"/>
              <w:rPr/>
            </w:pPr>
            <w:r>
              <w:rPr/>
              <w:t>Materials and substances</w:t>
            </w:r>
          </w:p>
        </w:tc>
        <w:tc>
          <w:tcPr>
            <w:tcW w:w="3640" w:type="dxa"/>
            <w:tcBorders/>
            <w:vAlign w:val="center"/>
          </w:tcPr>
          <w:p>
            <w:pPr>
              <w:pStyle w:val="TableContents"/>
              <w:bidi w:val="0"/>
              <w:spacing w:before="0" w:after="140"/>
              <w:rPr/>
            </w:pPr>
            <w:r>
              <w:rPr/>
              <w:t>Raw materials, packaging, chemicals, solvents, refrigerants, industrial gases, lubricants</w:t>
            </w:r>
          </w:p>
        </w:tc>
      </w:tr>
      <w:tr>
        <w:trPr/>
        <w:tc>
          <w:tcPr>
            <w:tcW w:w="1545" w:type="dxa"/>
            <w:tcBorders/>
            <w:vAlign w:val="center"/>
          </w:tcPr>
          <w:p>
            <w:pPr>
              <w:pStyle w:val="TableContents"/>
              <w:bidi w:val="0"/>
              <w:spacing w:before="0" w:after="140"/>
              <w:rPr/>
            </w:pPr>
            <w:r>
              <w:rPr/>
              <w:t>Outputs</w:t>
            </w:r>
          </w:p>
        </w:tc>
        <w:tc>
          <w:tcPr>
            <w:tcW w:w="3640" w:type="dxa"/>
            <w:tcBorders/>
            <w:vAlign w:val="center"/>
          </w:tcPr>
          <w:p>
            <w:pPr>
              <w:pStyle w:val="TableContents"/>
              <w:bidi w:val="0"/>
              <w:spacing w:before="0" w:after="140"/>
              <w:rPr/>
            </w:pPr>
            <w:r>
              <w:rPr/>
              <w:t>Product, by-product, scrap, residue, wastewater, released gases, recovered material</w:t>
            </w:r>
          </w:p>
        </w:tc>
      </w:tr>
      <w:tr>
        <w:trPr/>
        <w:tc>
          <w:tcPr>
            <w:tcW w:w="1545" w:type="dxa"/>
            <w:tcBorders/>
            <w:vAlign w:val="center"/>
          </w:tcPr>
          <w:p>
            <w:pPr>
              <w:pStyle w:val="TableContents"/>
              <w:bidi w:val="0"/>
              <w:spacing w:before="0" w:after="140"/>
              <w:rPr/>
            </w:pPr>
            <w:r>
              <w:rPr/>
              <w:t>Logistics</w:t>
            </w:r>
          </w:p>
        </w:tc>
        <w:tc>
          <w:tcPr>
            <w:tcW w:w="3640" w:type="dxa"/>
            <w:tcBorders/>
            <w:vAlign w:val="center"/>
          </w:tcPr>
          <w:p>
            <w:pPr>
              <w:pStyle w:val="TableContents"/>
              <w:bidi w:val="0"/>
              <w:spacing w:before="0" w:after="140"/>
              <w:rPr/>
            </w:pPr>
            <w:r>
              <w:rPr/>
              <w:t>Company vehicles, third-party transport, inbound material movement, outbound product movement</w:t>
            </w:r>
          </w:p>
        </w:tc>
      </w:tr>
    </w:tbl>
    <w:p>
      <w:pPr>
        <w:pStyle w:val="BodyText"/>
        <w:bidi w:val="0"/>
        <w:spacing w:before="0" w:after="240"/>
        <w:rPr>
          <w:bdr w:val="single" w:sz="2" w:space="12" w:color="A8C4B7"/>
        </w:rPr>
      </w:pPr>
      <w:r>
        <w:rPr>
          <w:bdr w:val="single" w:sz="2" w:space="12" w:color="A8C4B7"/>
        </w:rPr>
        <w:t>For each item the system asks: what does it consume, what transformation occurs, what does it release, who controls it, and what evidence exists?</w:t>
      </w:r>
    </w:p>
    <w:p>
      <w:pPr>
        <w:pStyle w:val="BodyText"/>
        <w:bidi w:val="0"/>
        <w:spacing w:before="320" w:after="140"/>
        <w:ind w:hanging="0" w:start="0" w:end="0"/>
        <w:rPr>
          <w:b/>
          <w:color w:val="FFFFFF"/>
          <w:sz w:val="26"/>
          <w:shd w:fill="176B4D" w:val="clear"/>
        </w:rPr>
      </w:pPr>
      <w:r>
        <w:rPr>
          <w:b/>
          <w:color w:val="FFFFFF"/>
          <w:sz w:val="26"/>
          <w:shd w:fill="176B4D" w:val="clear"/>
        </w:rPr>
        <w:t>Layer 5 — Deterministic rule and knowledge-base engine</w:t>
      </w:r>
    </w:p>
    <w:p>
      <w:pPr>
        <w:pStyle w:val="BodyText"/>
        <w:bidi w:val="0"/>
        <w:spacing w:before="0" w:after="240"/>
        <w:ind w:hanging="0" w:start="0" w:end="0"/>
        <w:rPr>
          <w:bdr w:val="single" w:sz="2" w:space="12" w:color="A8C4B7"/>
        </w:rPr>
      </w:pPr>
      <w:r>
        <w:rPr>
          <w:b/>
          <w:color w:val="145A43"/>
          <w:bdr w:val="single" w:sz="2" w:space="12" w:color="A8C4B7"/>
        </w:rPr>
        <w:t>Purpose:</w:t>
      </w:r>
      <w:r>
        <w:rPr>
          <w:bdr w:val="single" w:sz="2" w:space="12" w:color="A8C4B7"/>
        </w:rPr>
        <w:t xml:space="preserve"> Generate explainable source candidates from explicit operational facts.</w:t>
      </w:r>
    </w:p>
    <w:p>
      <w:pPr>
        <w:pStyle w:val="BodyText"/>
        <w:bidi w:val="0"/>
        <w:spacing w:before="0" w:after="240"/>
        <w:rPr>
          <w:bdr w:val="single" w:sz="2" w:space="12" w:color="A8C4B7"/>
        </w:rPr>
      </w:pPr>
      <w:r>
        <w:rPr>
          <w:bdr w:val="single" w:sz="2" w:space="12" w:color="A8C4B7"/>
        </w:rPr>
        <w:t>Example rules:</w:t>
      </w:r>
    </w:p>
    <w:p>
      <w:pPr>
        <w:pStyle w:val="BodyText"/>
        <w:keepLines/>
        <w:bidi w:val="0"/>
        <w:spacing w:before="160" w:after="240"/>
        <w:ind w:hanging="0" w:start="160" w:end="160"/>
        <w:rPr>
          <w:rFonts w:ascii="Liberation Mono;Consolas;monospace" w:hAnsi="Liberation Mono;Consolas;monospace"/>
          <w:color w:val="385148"/>
          <w:sz w:val="18"/>
        </w:rPr>
      </w:pPr>
      <w:r>
        <w:rPr>
          <w:rFonts w:ascii="Liberation Mono;Consolas;monospace" w:hAnsi="Liberation Mono;Consolas;monospace"/>
          <w:color w:val="385148"/>
          <w:sz w:val="18"/>
        </w:rPr>
        <w:t>IF equipment = boiler AND fuel is present THEN candidate = stationary fuel combustion. IF equipment = refrigeration/air-conditioning THEN candidate = fugitive refrigerant emissions; request refrigerant details. IF electricity is purchased THEN candidate = purchased electricity. IF chemical/mineral transformation occurs THEN candidate = industrial process emissions; request reaction and material details. IF waste is sent to an external facility THEN candidate = waste generated in operations; record treatment route and provider. IF transport is third-party operated THEN candidate = value-chain transportation rather than owned mobile combustion.</w:t>
      </w:r>
    </w:p>
    <w:p>
      <w:pPr>
        <w:pStyle w:val="BodyText"/>
        <w:bidi w:val="0"/>
        <w:spacing w:before="0" w:after="240"/>
        <w:rPr>
          <w:bdr w:val="single" w:sz="2" w:space="12" w:color="A8C4B7"/>
        </w:rPr>
      </w:pPr>
      <w:r>
        <w:rPr>
          <w:bdr w:val="single" w:sz="2" w:space="12" w:color="A8C4B7"/>
        </w:rPr>
        <w:t>The knowledge base links industry → product → process → equipment/input/output → candidate source → verification question → likely scope logic. Each rule stores its rationale and version.</w:t>
      </w:r>
    </w:p>
    <w:p>
      <w:pPr>
        <w:pStyle w:val="BodyText"/>
        <w:bidi w:val="0"/>
        <w:spacing w:before="320" w:after="140"/>
        <w:ind w:hanging="0" w:start="0" w:end="0"/>
        <w:rPr>
          <w:b/>
          <w:color w:val="FFFFFF"/>
          <w:sz w:val="26"/>
          <w:shd w:fill="176B4D" w:val="clear"/>
        </w:rPr>
      </w:pPr>
      <w:r>
        <w:rPr>
          <w:b/>
          <w:color w:val="FFFFFF"/>
          <w:sz w:val="26"/>
          <w:shd w:fill="176B4D" w:val="clear"/>
        </w:rPr>
        <w:t>Layer 6 — ML emission-source identification engine</w:t>
      </w:r>
    </w:p>
    <w:p>
      <w:pPr>
        <w:pStyle w:val="BodyText"/>
        <w:bidi w:val="0"/>
        <w:spacing w:before="0" w:after="240"/>
        <w:ind w:hanging="0" w:start="0" w:end="0"/>
        <w:rPr>
          <w:bdr w:val="single" w:sz="2" w:space="12" w:color="A8C4B7"/>
        </w:rPr>
      </w:pPr>
      <w:r>
        <w:rPr>
          <w:b/>
          <w:color w:val="145A43"/>
          <w:bdr w:val="single" w:sz="2" w:space="12" w:color="A8C4B7"/>
        </w:rPr>
        <w:t>Purpose:</w:t>
      </w:r>
      <w:r>
        <w:rPr>
          <w:bdr w:val="single" w:sz="2" w:space="12" w:color="A8C4B7"/>
        </w:rPr>
        <w:t xml:space="preserve"> Find implicit, unstructured or potentially omitted sources that fixed forms and rules may miss.</w:t>
      </w:r>
    </w:p>
    <w:p>
      <w:pPr>
        <w:pStyle w:val="BodyText"/>
        <w:bidi w:val="0"/>
        <w:spacing w:before="0" w:after="240"/>
        <w:rPr>
          <w:bdr w:val="single" w:sz="2" w:space="12" w:color="A8C4B7"/>
        </w:rPr>
      </w:pPr>
      <w:r>
        <w:rPr>
          <w:bdr w:val="single" w:sz="2" w:space="12" w:color="A8C4B7"/>
        </w:rPr>
        <w:t>The ML layer performs five bounded tasks:</w:t>
      </w:r>
    </w:p>
    <w:p>
      <w:pPr>
        <w:pStyle w:val="BodyText"/>
        <w:numPr>
          <w:ilvl w:val="0"/>
          <w:numId w:val="3"/>
        </w:numPr>
        <w:tabs>
          <w:tab w:val="clear" w:pos="1134"/>
          <w:tab w:val="left" w:pos="709" w:leader="none"/>
        </w:tabs>
        <w:bidi w:val="0"/>
        <w:spacing w:before="0" w:after="240"/>
        <w:ind w:hanging="283" w:start="709"/>
        <w:rPr>
          <w:bdr w:val="single" w:sz="2" w:space="12" w:color="A8C4B7"/>
        </w:rPr>
      </w:pPr>
      <w:r>
        <w:rPr>
          <w:b/>
          <w:bdr w:val="single" w:sz="2" w:space="12" w:color="A8C4B7"/>
        </w:rPr>
        <w:t>Entity extraction:</w:t>
      </w:r>
      <w:r>
        <w:rPr>
          <w:bdr w:val="single" w:sz="2" w:space="12" w:color="A8C4B7"/>
        </w:rPr>
        <w:t xml:space="preserve"> Read free-text process descriptions, equipment notes or permitted document text and extract products, processes, fuels, equipment, materials, gases, waste and ownership clues. </w:t>
      </w:r>
    </w:p>
    <w:p>
      <w:pPr>
        <w:pStyle w:val="BodyText"/>
        <w:numPr>
          <w:ilvl w:val="0"/>
          <w:numId w:val="3"/>
        </w:numPr>
        <w:tabs>
          <w:tab w:val="clear" w:pos="1134"/>
          <w:tab w:val="left" w:pos="709" w:leader="none"/>
        </w:tabs>
        <w:bidi w:val="0"/>
        <w:spacing w:before="0" w:after="240"/>
        <w:ind w:hanging="283" w:start="709"/>
        <w:rPr>
          <w:bdr w:val="single" w:sz="2" w:space="12" w:color="A8C4B7"/>
        </w:rPr>
      </w:pPr>
      <w:r>
        <w:rPr>
          <w:b/>
          <w:bdr w:val="single" w:sz="2" w:space="12" w:color="A8C4B7"/>
        </w:rPr>
        <w:t>Semantic matching:</w:t>
      </w:r>
      <w:r>
        <w:rPr>
          <w:bdr w:val="single" w:sz="2" w:space="12" w:color="A8C4B7"/>
        </w:rPr>
        <w:t xml:space="preserve"> Retrieve similar entries from the curated industry/process/source knowledge base. </w:t>
      </w:r>
    </w:p>
    <w:p>
      <w:pPr>
        <w:pStyle w:val="BodyText"/>
        <w:numPr>
          <w:ilvl w:val="0"/>
          <w:numId w:val="3"/>
        </w:numPr>
        <w:tabs>
          <w:tab w:val="clear" w:pos="1134"/>
          <w:tab w:val="left" w:pos="709" w:leader="none"/>
        </w:tabs>
        <w:bidi w:val="0"/>
        <w:spacing w:before="0" w:after="240"/>
        <w:ind w:hanging="283" w:start="709"/>
        <w:rPr>
          <w:bdr w:val="single" w:sz="2" w:space="12" w:color="A8C4B7"/>
        </w:rPr>
      </w:pPr>
      <w:r>
        <w:rPr>
          <w:b/>
          <w:bdr w:val="single" w:sz="2" w:space="12" w:color="A8C4B7"/>
        </w:rPr>
        <w:t>Multi-label candidate ranking:</w:t>
      </w:r>
      <w:r>
        <w:rPr>
          <w:bdr w:val="single" w:sz="2" w:space="12" w:color="A8C4B7"/>
        </w:rPr>
        <w:t xml:space="preserve"> Assign one or more possible source categories to the facility facts. </w:t>
      </w:r>
    </w:p>
    <w:p>
      <w:pPr>
        <w:pStyle w:val="BodyText"/>
        <w:numPr>
          <w:ilvl w:val="0"/>
          <w:numId w:val="3"/>
        </w:numPr>
        <w:tabs>
          <w:tab w:val="clear" w:pos="1134"/>
          <w:tab w:val="left" w:pos="709" w:leader="none"/>
        </w:tabs>
        <w:bidi w:val="0"/>
        <w:spacing w:before="0" w:after="240"/>
        <w:ind w:hanging="283" w:start="709"/>
        <w:rPr>
          <w:bdr w:val="single" w:sz="2" w:space="12" w:color="A8C4B7"/>
        </w:rPr>
      </w:pPr>
      <w:r>
        <w:rPr>
          <w:b/>
          <w:bdr w:val="single" w:sz="2" w:space="12" w:color="A8C4B7"/>
        </w:rPr>
        <w:t>Missing-source detection:</w:t>
      </w:r>
      <w:r>
        <w:rPr>
          <w:bdr w:val="single" w:sz="2" w:space="12" w:color="A8C4B7"/>
        </w:rPr>
        <w:t xml:space="preserve"> Compare the declared process with expected dependencies and flag missing information. </w:t>
      </w:r>
    </w:p>
    <w:p>
      <w:pPr>
        <w:pStyle w:val="BodyText"/>
        <w:numPr>
          <w:ilvl w:val="0"/>
          <w:numId w:val="3"/>
        </w:numPr>
        <w:tabs>
          <w:tab w:val="clear" w:pos="1134"/>
          <w:tab w:val="left" w:pos="709" w:leader="none"/>
        </w:tabs>
        <w:bidi w:val="0"/>
        <w:spacing w:before="0" w:after="240"/>
        <w:ind w:hanging="283" w:start="709"/>
        <w:rPr>
          <w:bdr w:val="single" w:sz="2" w:space="12" w:color="A8C4B7"/>
        </w:rPr>
      </w:pPr>
      <w:r>
        <w:rPr>
          <w:b/>
          <w:bdr w:val="single" w:sz="2" w:space="12" w:color="A8C4B7"/>
        </w:rPr>
        <w:t>Next-question selection:</w:t>
      </w:r>
      <w:r>
        <w:rPr>
          <w:bdr w:val="single" w:sz="2" w:space="12" w:color="A8C4B7"/>
        </w:rPr>
        <w:t xml:space="preserve"> Ask the smallest number of high-value questions needed to resolve uncertainty. </w:t>
      </w:r>
    </w:p>
    <w:p>
      <w:pPr>
        <w:pStyle w:val="BodyText"/>
        <w:bidi w:val="0"/>
        <w:spacing w:before="0" w:after="240"/>
        <w:ind w:hanging="0" w:start="0" w:end="0"/>
        <w:rPr>
          <w:bdr w:val="single" w:sz="2" w:space="12" w:color="A8C4B7"/>
        </w:rPr>
      </w:pPr>
      <w:r>
        <w:rPr>
          <w:b/>
          <w:color w:val="145A43"/>
          <w:bdr w:val="single" w:sz="2" w:space="12" w:color="A8C4B7"/>
        </w:rPr>
        <w:t>Output:</w:t>
      </w:r>
      <w:r>
        <w:rPr>
          <w:bdr w:val="single" w:sz="2" w:space="12" w:color="A8C4B7"/>
        </w:rPr>
        <w:t xml:space="preserve"> Candidate source, model confidence, extracted evidence text, reason for suggestion and recommended verification question.</w:t>
      </w:r>
    </w:p>
    <w:p>
      <w:pPr>
        <w:pStyle w:val="BodyText"/>
        <w:keepLines/>
        <w:bidi w:val="0"/>
        <w:spacing w:before="200" w:after="280"/>
        <w:ind w:hanging="0" w:start="200" w:end="200"/>
        <w:rPr>
          <w:color w:val="7A5610"/>
        </w:rPr>
      </w:pPr>
      <w:r>
        <w:rPr>
          <w:b/>
          <w:color w:val="7A5610"/>
        </w:rPr>
        <w:t>Guardrail:</w:t>
      </w:r>
      <w:r>
        <w:rPr>
          <w:color w:val="7A5610"/>
        </w:rPr>
        <w:t xml:space="preserve"> ML confidence is not proof. The model may set a candidate to “potential” or “needs verification,” never directly to “confirmed.”</w:t>
      </w:r>
    </w:p>
    <w:p>
      <w:pPr>
        <w:pStyle w:val="BodyText"/>
        <w:bidi w:val="0"/>
        <w:spacing w:before="320" w:after="140"/>
        <w:ind w:hanging="0" w:start="0" w:end="0"/>
        <w:rPr>
          <w:b/>
          <w:color w:val="FFFFFF"/>
          <w:sz w:val="26"/>
          <w:shd w:fill="176B4D" w:val="clear"/>
        </w:rPr>
      </w:pPr>
      <w:r>
        <w:rPr>
          <w:b/>
          <w:color w:val="FFFFFF"/>
          <w:sz w:val="26"/>
          <w:shd w:fill="176B4D" w:val="clear"/>
        </w:rPr>
        <w:t>Layer 7 — Universal completeness checklist</w:t>
      </w:r>
    </w:p>
    <w:p>
      <w:pPr>
        <w:pStyle w:val="BodyText"/>
        <w:bidi w:val="0"/>
        <w:spacing w:before="0" w:after="240"/>
        <w:ind w:hanging="0" w:start="0" w:end="0"/>
        <w:rPr>
          <w:bdr w:val="single" w:sz="2" w:space="12" w:color="A8C4B7"/>
        </w:rPr>
      </w:pPr>
      <w:r>
        <w:rPr>
          <w:b/>
          <w:color w:val="145A43"/>
          <w:bdr w:val="single" w:sz="2" w:space="12" w:color="A8C4B7"/>
        </w:rPr>
        <w:t>Purpose:</w:t>
      </w:r>
      <w:r>
        <w:rPr>
          <w:bdr w:val="single" w:sz="2" w:space="12" w:color="A8C4B7"/>
        </w:rPr>
        <w:t xml:space="preserve"> Prevent the industry template and model from creating blind spots.</w:t>
      </w:r>
    </w:p>
    <w:p>
      <w:pPr>
        <w:pStyle w:val="BodyText"/>
        <w:bidi w:val="0"/>
        <w:spacing w:before="0" w:after="240"/>
        <w:rPr>
          <w:bdr w:val="single" w:sz="2" w:space="12" w:color="A8C4B7"/>
        </w:rPr>
      </w:pPr>
      <w:r>
        <w:rPr>
          <w:bdr w:val="single" w:sz="2" w:space="12" w:color="A8C4B7"/>
        </w:rPr>
        <w:t>Every assessment must explicitly evaluate:</w:t>
      </w:r>
    </w:p>
    <w:p>
      <w:pPr>
        <w:pStyle w:val="BodyText"/>
        <w:numPr>
          <w:ilvl w:val="0"/>
          <w:numId w:val="4"/>
        </w:numPr>
        <w:tabs>
          <w:tab w:val="clear" w:pos="1134"/>
          <w:tab w:val="left" w:pos="709" w:leader="none"/>
        </w:tabs>
        <w:bidi w:val="0"/>
        <w:spacing w:before="0" w:after="240"/>
        <w:ind w:hanging="283" w:start="709"/>
        <w:rPr>
          <w:bdr w:val="single" w:sz="2" w:space="12" w:color="A8C4B7"/>
        </w:rPr>
      </w:pPr>
      <w:r>
        <w:rPr>
          <w:bdr w:val="single" w:sz="2" w:space="12" w:color="A8C4B7"/>
        </w:rPr>
        <w:t xml:space="preserve">Stationary combustion </w:t>
      </w:r>
    </w:p>
    <w:p>
      <w:pPr>
        <w:pStyle w:val="BodyText"/>
        <w:numPr>
          <w:ilvl w:val="0"/>
          <w:numId w:val="4"/>
        </w:numPr>
        <w:tabs>
          <w:tab w:val="clear" w:pos="1134"/>
          <w:tab w:val="left" w:pos="709" w:leader="none"/>
        </w:tabs>
        <w:bidi w:val="0"/>
        <w:spacing w:before="0" w:after="240"/>
        <w:ind w:hanging="283" w:start="709"/>
        <w:rPr>
          <w:bdr w:val="single" w:sz="2" w:space="12" w:color="A8C4B7"/>
        </w:rPr>
      </w:pPr>
      <w:r>
        <w:rPr>
          <w:bdr w:val="single" w:sz="2" w:space="12" w:color="A8C4B7"/>
        </w:rPr>
        <w:t xml:space="preserve">Mobile combustion </w:t>
      </w:r>
    </w:p>
    <w:p>
      <w:pPr>
        <w:pStyle w:val="BodyText"/>
        <w:numPr>
          <w:ilvl w:val="0"/>
          <w:numId w:val="4"/>
        </w:numPr>
        <w:tabs>
          <w:tab w:val="clear" w:pos="1134"/>
          <w:tab w:val="left" w:pos="709" w:leader="none"/>
        </w:tabs>
        <w:bidi w:val="0"/>
        <w:spacing w:before="0" w:after="240"/>
        <w:ind w:hanging="283" w:start="709"/>
        <w:rPr>
          <w:bdr w:val="single" w:sz="2" w:space="12" w:color="A8C4B7"/>
        </w:rPr>
      </w:pPr>
      <w:r>
        <w:rPr>
          <w:bdr w:val="single" w:sz="2" w:space="12" w:color="A8C4B7"/>
        </w:rPr>
        <w:t xml:space="preserve">Purchased electricity, steam, heat and cooling </w:t>
      </w:r>
    </w:p>
    <w:p>
      <w:pPr>
        <w:pStyle w:val="BodyText"/>
        <w:numPr>
          <w:ilvl w:val="0"/>
          <w:numId w:val="4"/>
        </w:numPr>
        <w:tabs>
          <w:tab w:val="clear" w:pos="1134"/>
          <w:tab w:val="left" w:pos="709" w:leader="none"/>
        </w:tabs>
        <w:bidi w:val="0"/>
        <w:spacing w:before="0" w:after="240"/>
        <w:ind w:hanging="283" w:start="709"/>
        <w:rPr>
          <w:bdr w:val="single" w:sz="2" w:space="12" w:color="A8C4B7"/>
        </w:rPr>
      </w:pPr>
      <w:r>
        <w:rPr>
          <w:bdr w:val="single" w:sz="2" w:space="12" w:color="A8C4B7"/>
        </w:rPr>
        <w:t xml:space="preserve">Industrial process reactions </w:t>
      </w:r>
    </w:p>
    <w:p>
      <w:pPr>
        <w:pStyle w:val="BodyText"/>
        <w:numPr>
          <w:ilvl w:val="0"/>
          <w:numId w:val="4"/>
        </w:numPr>
        <w:tabs>
          <w:tab w:val="clear" w:pos="1134"/>
          <w:tab w:val="left" w:pos="709" w:leader="none"/>
        </w:tabs>
        <w:bidi w:val="0"/>
        <w:spacing w:before="0" w:after="240"/>
        <w:ind w:hanging="283" w:start="709"/>
        <w:rPr>
          <w:bdr w:val="single" w:sz="2" w:space="12" w:color="A8C4B7"/>
        </w:rPr>
      </w:pPr>
      <w:r>
        <w:rPr>
          <w:bdr w:val="single" w:sz="2" w:space="12" w:color="A8C4B7"/>
        </w:rPr>
        <w:t xml:space="preserve">Refrigerants and other fugitive releases </w:t>
      </w:r>
    </w:p>
    <w:p>
      <w:pPr>
        <w:pStyle w:val="BodyText"/>
        <w:numPr>
          <w:ilvl w:val="0"/>
          <w:numId w:val="4"/>
        </w:numPr>
        <w:tabs>
          <w:tab w:val="clear" w:pos="1134"/>
          <w:tab w:val="left" w:pos="709" w:leader="none"/>
        </w:tabs>
        <w:bidi w:val="0"/>
        <w:spacing w:before="0" w:after="240"/>
        <w:ind w:hanging="283" w:start="709"/>
        <w:rPr>
          <w:bdr w:val="single" w:sz="2" w:space="12" w:color="A8C4B7"/>
        </w:rPr>
      </w:pPr>
      <w:r>
        <w:rPr>
          <w:bdr w:val="single" w:sz="2" w:space="12" w:color="A8C4B7"/>
        </w:rPr>
        <w:t xml:space="preserve">Purchased raw and packaging materials </w:t>
      </w:r>
    </w:p>
    <w:p>
      <w:pPr>
        <w:pStyle w:val="BodyText"/>
        <w:numPr>
          <w:ilvl w:val="0"/>
          <w:numId w:val="4"/>
        </w:numPr>
        <w:tabs>
          <w:tab w:val="clear" w:pos="1134"/>
          <w:tab w:val="left" w:pos="709" w:leader="none"/>
        </w:tabs>
        <w:bidi w:val="0"/>
        <w:spacing w:before="0" w:after="240"/>
        <w:ind w:hanging="283" w:start="709"/>
        <w:rPr>
          <w:bdr w:val="single" w:sz="2" w:space="12" w:color="A8C4B7"/>
        </w:rPr>
      </w:pPr>
      <w:r>
        <w:rPr>
          <w:bdr w:val="single" w:sz="2" w:space="12" w:color="A8C4B7"/>
        </w:rPr>
        <w:t xml:space="preserve">Inbound and outbound third-party transportation </w:t>
      </w:r>
    </w:p>
    <w:p>
      <w:pPr>
        <w:pStyle w:val="BodyText"/>
        <w:numPr>
          <w:ilvl w:val="0"/>
          <w:numId w:val="4"/>
        </w:numPr>
        <w:tabs>
          <w:tab w:val="clear" w:pos="1134"/>
          <w:tab w:val="left" w:pos="709" w:leader="none"/>
        </w:tabs>
        <w:bidi w:val="0"/>
        <w:spacing w:before="0" w:after="240"/>
        <w:ind w:hanging="283" w:start="709"/>
        <w:rPr>
          <w:bdr w:val="single" w:sz="2" w:space="12" w:color="A8C4B7"/>
        </w:rPr>
      </w:pPr>
      <w:r>
        <w:rPr>
          <w:bdr w:val="single" w:sz="2" w:space="12" w:color="A8C4B7"/>
        </w:rPr>
        <w:t xml:space="preserve">Solid waste and its treatment route </w:t>
      </w:r>
    </w:p>
    <w:p>
      <w:pPr>
        <w:pStyle w:val="BodyText"/>
        <w:numPr>
          <w:ilvl w:val="0"/>
          <w:numId w:val="4"/>
        </w:numPr>
        <w:tabs>
          <w:tab w:val="clear" w:pos="1134"/>
          <w:tab w:val="left" w:pos="709" w:leader="none"/>
        </w:tabs>
        <w:bidi w:val="0"/>
        <w:spacing w:before="0" w:after="240"/>
        <w:ind w:hanging="283" w:start="709"/>
        <w:rPr>
          <w:bdr w:val="single" w:sz="2" w:space="12" w:color="A8C4B7"/>
        </w:rPr>
      </w:pPr>
      <w:r>
        <w:rPr>
          <w:bdr w:val="single" w:sz="2" w:space="12" w:color="A8C4B7"/>
        </w:rPr>
        <w:t xml:space="preserve">Wastewater and its treatment route </w:t>
      </w:r>
    </w:p>
    <w:p>
      <w:pPr>
        <w:pStyle w:val="BodyText"/>
        <w:numPr>
          <w:ilvl w:val="0"/>
          <w:numId w:val="4"/>
        </w:numPr>
        <w:tabs>
          <w:tab w:val="clear" w:pos="1134"/>
          <w:tab w:val="left" w:pos="709" w:leader="none"/>
        </w:tabs>
        <w:bidi w:val="0"/>
        <w:spacing w:before="0" w:after="240"/>
        <w:ind w:hanging="283" w:start="709"/>
        <w:rPr>
          <w:bdr w:val="single" w:sz="2" w:space="12" w:color="A8C4B7"/>
        </w:rPr>
      </w:pPr>
      <w:r>
        <w:rPr>
          <w:bdr w:val="single" w:sz="2" w:space="12" w:color="A8C4B7"/>
        </w:rPr>
        <w:t xml:space="preserve">Outsourced production </w:t>
      </w:r>
    </w:p>
    <w:p>
      <w:pPr>
        <w:pStyle w:val="BodyText"/>
        <w:bidi w:val="0"/>
        <w:spacing w:before="0" w:after="240"/>
        <w:rPr>
          <w:bdr w:val="single" w:sz="2" w:space="12" w:color="A8C4B7"/>
        </w:rPr>
      </w:pPr>
      <w:r>
        <w:rPr>
          <w:bdr w:val="single" w:sz="2" w:space="12" w:color="A8C4B7"/>
        </w:rPr>
        <w:t>Each family must end with a recorded answer: present, absent, outsourced, unknown, or awaiting evidence.</w:t>
      </w:r>
    </w:p>
    <w:p>
      <w:pPr>
        <w:pStyle w:val="BodyText"/>
        <w:bidi w:val="0"/>
        <w:spacing w:before="320" w:after="140"/>
        <w:ind w:hanging="0" w:start="0" w:end="0"/>
        <w:rPr>
          <w:b/>
          <w:color w:val="FFFFFF"/>
          <w:sz w:val="26"/>
          <w:shd w:fill="176B4D" w:val="clear"/>
        </w:rPr>
      </w:pPr>
      <w:r>
        <w:rPr>
          <w:b/>
          <w:color w:val="FFFFFF"/>
          <w:sz w:val="26"/>
          <w:shd w:fill="176B4D" w:val="clear"/>
        </w:rPr>
        <w:t>Layer 8 — Dynamic verification and evidence</w:t>
      </w:r>
    </w:p>
    <w:p>
      <w:pPr>
        <w:pStyle w:val="BodyText"/>
        <w:bidi w:val="0"/>
        <w:spacing w:before="0" w:after="240"/>
        <w:ind w:hanging="0" w:start="0" w:end="0"/>
        <w:rPr>
          <w:bdr w:val="single" w:sz="2" w:space="12" w:color="A8C4B7"/>
        </w:rPr>
      </w:pPr>
      <w:r>
        <w:rPr>
          <w:b/>
          <w:color w:val="145A43"/>
          <w:bdr w:val="single" w:sz="2" w:space="12" w:color="A8C4B7"/>
        </w:rPr>
        <w:t>Purpose:</w:t>
      </w:r>
      <w:r>
        <w:rPr>
          <w:bdr w:val="single" w:sz="2" w:space="12" w:color="A8C4B7"/>
        </w:rPr>
        <w:t xml:space="preserve"> Convert candidates into defensible source records.</w:t>
      </w:r>
    </w:p>
    <w:p>
      <w:pPr>
        <w:pStyle w:val="BodyText"/>
        <w:bidi w:val="0"/>
        <w:spacing w:before="0" w:after="240"/>
        <w:rPr>
          <w:bdr w:val="single" w:sz="2" w:space="12" w:color="A8C4B7"/>
        </w:rPr>
      </w:pPr>
      <w:r>
        <w:rPr>
          <w:bdr w:val="single" w:sz="2" w:space="12" w:color="A8C4B7"/>
        </w:rPr>
        <w:t>Questions are generated from rules, ML gaps and checklist gaps. Examples:</w:t>
      </w:r>
    </w:p>
    <w:p>
      <w:pPr>
        <w:pStyle w:val="BodyText"/>
        <w:numPr>
          <w:ilvl w:val="0"/>
          <w:numId w:val="5"/>
        </w:numPr>
        <w:tabs>
          <w:tab w:val="clear" w:pos="1134"/>
          <w:tab w:val="left" w:pos="709" w:leader="none"/>
        </w:tabs>
        <w:bidi w:val="0"/>
        <w:spacing w:before="0" w:after="240"/>
        <w:ind w:hanging="283" w:start="709"/>
        <w:rPr>
          <w:bdr w:val="single" w:sz="2" w:space="12" w:color="A8C4B7"/>
        </w:rPr>
      </w:pPr>
      <w:r>
        <w:rPr>
          <w:bdr w:val="single" w:sz="2" w:space="12" w:color="A8C4B7"/>
        </w:rPr>
        <w:t xml:space="preserve">Is this boiler owned and operated by the company? </w:t>
      </w:r>
    </w:p>
    <w:p>
      <w:pPr>
        <w:pStyle w:val="BodyText"/>
        <w:numPr>
          <w:ilvl w:val="0"/>
          <w:numId w:val="5"/>
        </w:numPr>
        <w:tabs>
          <w:tab w:val="clear" w:pos="1134"/>
          <w:tab w:val="left" w:pos="709" w:leader="none"/>
        </w:tabs>
        <w:bidi w:val="0"/>
        <w:spacing w:before="0" w:after="240"/>
        <w:ind w:hanging="283" w:start="709"/>
        <w:rPr>
          <w:bdr w:val="single" w:sz="2" w:space="12" w:color="A8C4B7"/>
        </w:rPr>
      </w:pPr>
      <w:r>
        <w:rPr>
          <w:bdr w:val="single" w:sz="2" w:space="12" w:color="A8C4B7"/>
        </w:rPr>
        <w:t xml:space="preserve">Which fuel does it use? </w:t>
      </w:r>
    </w:p>
    <w:p>
      <w:pPr>
        <w:pStyle w:val="BodyText"/>
        <w:numPr>
          <w:ilvl w:val="0"/>
          <w:numId w:val="5"/>
        </w:numPr>
        <w:tabs>
          <w:tab w:val="clear" w:pos="1134"/>
          <w:tab w:val="left" w:pos="709" w:leader="none"/>
        </w:tabs>
        <w:bidi w:val="0"/>
        <w:spacing w:before="0" w:after="240"/>
        <w:ind w:hanging="283" w:start="709"/>
        <w:rPr>
          <w:bdr w:val="single" w:sz="2" w:space="12" w:color="A8C4B7"/>
        </w:rPr>
      </w:pPr>
      <w:r>
        <w:rPr>
          <w:bdr w:val="single" w:sz="2" w:space="12" w:color="A8C4B7"/>
        </w:rPr>
        <w:t xml:space="preserve">Does the cold-storage system contain refrigerant? </w:t>
      </w:r>
    </w:p>
    <w:p>
      <w:pPr>
        <w:pStyle w:val="BodyText"/>
        <w:numPr>
          <w:ilvl w:val="0"/>
          <w:numId w:val="5"/>
        </w:numPr>
        <w:tabs>
          <w:tab w:val="clear" w:pos="1134"/>
          <w:tab w:val="left" w:pos="709" w:leader="none"/>
        </w:tabs>
        <w:bidi w:val="0"/>
        <w:spacing w:before="0" w:after="240"/>
        <w:ind w:hanging="283" w:start="709"/>
        <w:rPr>
          <w:bdr w:val="single" w:sz="2" w:space="12" w:color="A8C4B7"/>
        </w:rPr>
      </w:pPr>
      <w:r>
        <w:rPr>
          <w:bdr w:val="single" w:sz="2" w:space="12" w:color="A8C4B7"/>
        </w:rPr>
        <w:t xml:space="preserve">Was refrigerant added or removed during the reporting period? </w:t>
      </w:r>
    </w:p>
    <w:p>
      <w:pPr>
        <w:pStyle w:val="BodyText"/>
        <w:numPr>
          <w:ilvl w:val="0"/>
          <w:numId w:val="5"/>
        </w:numPr>
        <w:tabs>
          <w:tab w:val="clear" w:pos="1134"/>
          <w:tab w:val="left" w:pos="709" w:leader="none"/>
        </w:tabs>
        <w:bidi w:val="0"/>
        <w:spacing w:before="0" w:after="240"/>
        <w:ind w:hanging="283" w:start="709"/>
        <w:rPr>
          <w:bdr w:val="single" w:sz="2" w:space="12" w:color="A8C4B7"/>
        </w:rPr>
      </w:pPr>
      <w:r>
        <w:rPr>
          <w:bdr w:val="single" w:sz="2" w:space="12" w:color="A8C4B7"/>
        </w:rPr>
        <w:t xml:space="preserve">Is wastewater treated onsite? </w:t>
      </w:r>
    </w:p>
    <w:p>
      <w:pPr>
        <w:pStyle w:val="BodyText"/>
        <w:numPr>
          <w:ilvl w:val="0"/>
          <w:numId w:val="5"/>
        </w:numPr>
        <w:tabs>
          <w:tab w:val="clear" w:pos="1134"/>
          <w:tab w:val="left" w:pos="709" w:leader="none"/>
        </w:tabs>
        <w:bidi w:val="0"/>
        <w:spacing w:before="0" w:after="240"/>
        <w:ind w:hanging="283" w:start="709"/>
        <w:rPr>
          <w:bdr w:val="single" w:sz="2" w:space="12" w:color="A8C4B7"/>
        </w:rPr>
      </w:pPr>
      <w:r>
        <w:rPr>
          <w:bdr w:val="single" w:sz="2" w:space="12" w:color="A8C4B7"/>
        </w:rPr>
        <w:t xml:space="preserve">Who transports the waste and what is its destination/treatment route? </w:t>
      </w:r>
    </w:p>
    <w:p>
      <w:pPr>
        <w:pStyle w:val="BodyText"/>
        <w:bidi w:val="0"/>
        <w:spacing w:before="0" w:after="240"/>
        <w:rPr>
          <w:bdr w:val="single" w:sz="2" w:space="12" w:color="A8C4B7"/>
        </w:rPr>
      </w:pPr>
      <w:r>
        <w:rPr>
          <w:bdr w:val="single" w:sz="2" w:space="12" w:color="A8C4B7"/>
        </w:rPr>
        <w:t>Evidence may include equipment registers, bills, fuel invoices, maintenance logs, refrigerant service records, process-flow documents, material records, waste manifests, transporter records, treatment receipts, photographs or operator attestation.</w:t>
      </w:r>
    </w:p>
    <w:p>
      <w:pPr>
        <w:pStyle w:val="BodyText"/>
        <w:bidi w:val="0"/>
        <w:spacing w:before="320" w:after="140"/>
        <w:ind w:hanging="0" w:start="0" w:end="0"/>
        <w:rPr>
          <w:b/>
          <w:color w:val="FFFFFF"/>
          <w:sz w:val="26"/>
          <w:shd w:fill="176B4D" w:val="clear"/>
        </w:rPr>
      </w:pPr>
      <w:r>
        <w:rPr>
          <w:b/>
          <w:color w:val="FFFFFF"/>
          <w:sz w:val="26"/>
          <w:shd w:fill="176B4D" w:val="clear"/>
        </w:rPr>
        <w:t>Layer 9 — Classification, status and confidence</w:t>
      </w:r>
    </w:p>
    <w:p>
      <w:pPr>
        <w:pStyle w:val="BodyText"/>
        <w:bidi w:val="0"/>
        <w:spacing w:before="0" w:after="240"/>
        <w:ind w:hanging="0" w:start="0" w:end="0"/>
        <w:rPr>
          <w:bdr w:val="single" w:sz="2" w:space="12" w:color="A8C4B7"/>
        </w:rPr>
      </w:pPr>
      <w:r>
        <w:rPr>
          <w:b/>
          <w:color w:val="145A43"/>
          <w:bdr w:val="single" w:sz="2" w:space="12" w:color="A8C4B7"/>
        </w:rPr>
        <w:t>Purpose:</w:t>
      </w:r>
      <w:r>
        <w:rPr>
          <w:bdr w:val="single" w:sz="2" w:space="12" w:color="A8C4B7"/>
        </w:rPr>
        <w:t xml:space="preserve"> Standardize the final interpretation without creating false certainty.</w:t>
      </w:r>
    </w:p>
    <w:tbl>
      <w:tblPr>
        <w:tblW w:w="5185" w:type="dxa"/>
        <w:jc w:val="start"/>
        <w:tblInd w:w="0" w:type="dxa"/>
        <w:tblLayout w:type="fixed"/>
        <w:tblCellMar>
          <w:top w:w="28" w:type="dxa"/>
          <w:start w:w="28" w:type="dxa"/>
          <w:bottom w:w="28" w:type="dxa"/>
          <w:end w:w="28" w:type="dxa"/>
        </w:tblCellMar>
      </w:tblPr>
      <w:tblGrid>
        <w:gridCol w:w="1251"/>
        <w:gridCol w:w="2258"/>
        <w:gridCol w:w="1676"/>
      </w:tblGrid>
      <w:tr>
        <w:trPr/>
        <w:tc>
          <w:tcPr>
            <w:tcW w:w="1251" w:type="dxa"/>
            <w:tcBorders/>
            <w:vAlign w:val="center"/>
          </w:tcPr>
          <w:p>
            <w:pPr>
              <w:pStyle w:val="TableHeading"/>
              <w:suppressLineNumbers/>
              <w:shd w:fill="176B4D" w:val="clear"/>
              <w:bidi w:val="0"/>
              <w:spacing w:before="0" w:after="140"/>
              <w:jc w:val="start"/>
              <w:rPr/>
            </w:pPr>
            <w:r>
              <w:rPr/>
              <w:t>Status</w:t>
            </w:r>
          </w:p>
        </w:tc>
        <w:tc>
          <w:tcPr>
            <w:tcW w:w="2258" w:type="dxa"/>
            <w:tcBorders/>
            <w:vAlign w:val="center"/>
          </w:tcPr>
          <w:p>
            <w:pPr>
              <w:pStyle w:val="TableHeading"/>
              <w:suppressLineNumbers/>
              <w:shd w:fill="176B4D" w:val="clear"/>
              <w:bidi w:val="0"/>
              <w:spacing w:before="0" w:after="140"/>
              <w:jc w:val="start"/>
              <w:rPr/>
            </w:pPr>
            <w:r>
              <w:rPr/>
              <w:t>Meaning</w:t>
            </w:r>
          </w:p>
        </w:tc>
        <w:tc>
          <w:tcPr>
            <w:tcW w:w="1676" w:type="dxa"/>
            <w:tcBorders/>
            <w:vAlign w:val="center"/>
          </w:tcPr>
          <w:p>
            <w:pPr>
              <w:pStyle w:val="TableHeading"/>
              <w:suppressLineNumbers/>
              <w:shd w:fill="176B4D" w:val="clear"/>
              <w:bidi w:val="0"/>
              <w:spacing w:before="0" w:after="140"/>
              <w:jc w:val="start"/>
              <w:rPr/>
            </w:pPr>
            <w:r>
              <w:rPr/>
              <w:t>Required handling</w:t>
            </w:r>
          </w:p>
        </w:tc>
      </w:tr>
      <w:tr>
        <w:trPr/>
        <w:tc>
          <w:tcPr>
            <w:tcW w:w="1251" w:type="dxa"/>
            <w:tcBorders/>
            <w:vAlign w:val="center"/>
          </w:tcPr>
          <w:p>
            <w:pPr>
              <w:pStyle w:val="TableContents"/>
              <w:bidi w:val="0"/>
              <w:spacing w:before="0" w:after="140"/>
              <w:rPr/>
            </w:pPr>
            <w:r>
              <w:rPr/>
              <w:t>Confirmed</w:t>
            </w:r>
          </w:p>
        </w:tc>
        <w:tc>
          <w:tcPr>
            <w:tcW w:w="2258" w:type="dxa"/>
            <w:tcBorders/>
            <w:vAlign w:val="center"/>
          </w:tcPr>
          <w:p>
            <w:pPr>
              <w:pStyle w:val="TableContents"/>
              <w:bidi w:val="0"/>
              <w:spacing w:before="0" w:after="140"/>
              <w:rPr/>
            </w:pPr>
            <w:r>
              <w:rPr/>
              <w:t>The activity/source exists and is supported by evidence or explicit responsible-user confirmation.</w:t>
            </w:r>
          </w:p>
        </w:tc>
        <w:tc>
          <w:tcPr>
            <w:tcW w:w="1676" w:type="dxa"/>
            <w:tcBorders/>
            <w:vAlign w:val="center"/>
          </w:tcPr>
          <w:p>
            <w:pPr>
              <w:pStyle w:val="TableContents"/>
              <w:bidi w:val="0"/>
              <w:spacing w:before="0" w:after="140"/>
              <w:rPr/>
            </w:pPr>
            <w:r>
              <w:rPr/>
              <w:t>Include in final inventory and list activity data required later.</w:t>
            </w:r>
          </w:p>
        </w:tc>
      </w:tr>
      <w:tr>
        <w:trPr/>
        <w:tc>
          <w:tcPr>
            <w:tcW w:w="1251" w:type="dxa"/>
            <w:tcBorders/>
            <w:vAlign w:val="center"/>
          </w:tcPr>
          <w:p>
            <w:pPr>
              <w:pStyle w:val="TableContents"/>
              <w:bidi w:val="0"/>
              <w:spacing w:before="0" w:after="140"/>
              <w:rPr/>
            </w:pPr>
            <w:r>
              <w:rPr/>
              <w:t>Potential</w:t>
            </w:r>
          </w:p>
        </w:tc>
        <w:tc>
          <w:tcPr>
            <w:tcW w:w="2258" w:type="dxa"/>
            <w:tcBorders/>
            <w:vAlign w:val="center"/>
          </w:tcPr>
          <w:p>
            <w:pPr>
              <w:pStyle w:val="TableContents"/>
              <w:bidi w:val="0"/>
              <w:spacing w:before="0" w:after="140"/>
              <w:rPr/>
            </w:pPr>
            <w:r>
              <w:rPr/>
              <w:t>Process knowledge, a rule or ML suggests it may exist.</w:t>
            </w:r>
          </w:p>
        </w:tc>
        <w:tc>
          <w:tcPr>
            <w:tcW w:w="1676" w:type="dxa"/>
            <w:tcBorders/>
            <w:vAlign w:val="center"/>
          </w:tcPr>
          <w:p>
            <w:pPr>
              <w:pStyle w:val="TableContents"/>
              <w:bidi w:val="0"/>
              <w:spacing w:before="0" w:after="140"/>
              <w:rPr/>
            </w:pPr>
            <w:r>
              <w:rPr/>
              <w:t>Keep visible and request verification.</w:t>
            </w:r>
          </w:p>
        </w:tc>
      </w:tr>
      <w:tr>
        <w:trPr/>
        <w:tc>
          <w:tcPr>
            <w:tcW w:w="1251" w:type="dxa"/>
            <w:tcBorders/>
            <w:vAlign w:val="center"/>
          </w:tcPr>
          <w:p>
            <w:pPr>
              <w:pStyle w:val="TableContents"/>
              <w:bidi w:val="0"/>
              <w:spacing w:before="0" w:after="140"/>
              <w:rPr/>
            </w:pPr>
            <w:r>
              <w:rPr/>
              <w:t>Missing information</w:t>
            </w:r>
          </w:p>
        </w:tc>
        <w:tc>
          <w:tcPr>
            <w:tcW w:w="2258" w:type="dxa"/>
            <w:tcBorders/>
            <w:vAlign w:val="center"/>
          </w:tcPr>
          <w:p>
            <w:pPr>
              <w:pStyle w:val="TableContents"/>
              <w:bidi w:val="0"/>
              <w:spacing w:before="0" w:after="140"/>
              <w:rPr/>
            </w:pPr>
            <w:r>
              <w:rPr/>
              <w:t>The source family is relevant, but necessary answers/evidence are absent.</w:t>
            </w:r>
          </w:p>
        </w:tc>
        <w:tc>
          <w:tcPr>
            <w:tcW w:w="1676" w:type="dxa"/>
            <w:tcBorders/>
            <w:vAlign w:val="center"/>
          </w:tcPr>
          <w:p>
            <w:pPr>
              <w:pStyle w:val="TableContents"/>
              <w:bidi w:val="0"/>
              <w:spacing w:before="0" w:after="140"/>
              <w:rPr/>
            </w:pPr>
            <w:r>
              <w:rPr/>
              <w:t>Never convert to zero or silently exclude.</w:t>
            </w:r>
          </w:p>
        </w:tc>
      </w:tr>
      <w:tr>
        <w:trPr/>
        <w:tc>
          <w:tcPr>
            <w:tcW w:w="1251" w:type="dxa"/>
            <w:tcBorders/>
            <w:vAlign w:val="center"/>
          </w:tcPr>
          <w:p>
            <w:pPr>
              <w:pStyle w:val="TableContents"/>
              <w:bidi w:val="0"/>
              <w:spacing w:before="0" w:after="140"/>
              <w:rPr/>
            </w:pPr>
            <w:r>
              <w:rPr/>
              <w:t>Not applicable</w:t>
            </w:r>
          </w:p>
        </w:tc>
        <w:tc>
          <w:tcPr>
            <w:tcW w:w="2258" w:type="dxa"/>
            <w:tcBorders/>
            <w:vAlign w:val="center"/>
          </w:tcPr>
          <w:p>
            <w:pPr>
              <w:pStyle w:val="TableContents"/>
              <w:bidi w:val="0"/>
              <w:spacing w:before="0" w:after="140"/>
              <w:rPr/>
            </w:pPr>
            <w:r>
              <w:rPr/>
              <w:t>The facility confirms the source does not occur within the boundary.</w:t>
            </w:r>
          </w:p>
        </w:tc>
        <w:tc>
          <w:tcPr>
            <w:tcW w:w="1676" w:type="dxa"/>
            <w:tcBorders/>
            <w:vAlign w:val="center"/>
          </w:tcPr>
          <w:p>
            <w:pPr>
              <w:pStyle w:val="TableContents"/>
              <w:bidi w:val="0"/>
              <w:spacing w:before="0" w:after="140"/>
              <w:rPr/>
            </w:pPr>
            <w:r>
              <w:rPr/>
              <w:t>Preserve the reason and verifier.</w:t>
            </w:r>
          </w:p>
        </w:tc>
      </w:tr>
      <w:tr>
        <w:trPr/>
        <w:tc>
          <w:tcPr>
            <w:tcW w:w="1251" w:type="dxa"/>
            <w:tcBorders/>
            <w:vAlign w:val="center"/>
          </w:tcPr>
          <w:p>
            <w:pPr>
              <w:pStyle w:val="TableContents"/>
              <w:bidi w:val="0"/>
              <w:spacing w:before="0" w:after="140"/>
              <w:rPr/>
            </w:pPr>
            <w:r>
              <w:rPr/>
              <w:t>Outsourced</w:t>
            </w:r>
          </w:p>
        </w:tc>
        <w:tc>
          <w:tcPr>
            <w:tcW w:w="2258" w:type="dxa"/>
            <w:tcBorders/>
            <w:vAlign w:val="center"/>
          </w:tcPr>
          <w:p>
            <w:pPr>
              <w:pStyle w:val="TableContents"/>
              <w:bidi w:val="0"/>
              <w:spacing w:before="0" w:after="140"/>
              <w:rPr/>
            </w:pPr>
            <w:r>
              <w:rPr/>
              <w:t>The activity occurs outside direct operational control.</w:t>
            </w:r>
          </w:p>
        </w:tc>
        <w:tc>
          <w:tcPr>
            <w:tcW w:w="1676" w:type="dxa"/>
            <w:tcBorders/>
            <w:vAlign w:val="center"/>
          </w:tcPr>
          <w:p>
            <w:pPr>
              <w:pStyle w:val="TableContents"/>
              <w:bidi w:val="0"/>
              <w:spacing w:before="0" w:after="140"/>
              <w:rPr/>
            </w:pPr>
            <w:r>
              <w:rPr/>
              <w:t>Record counterparty and flag for later value-chain treatment.</w:t>
            </w:r>
          </w:p>
        </w:tc>
      </w:tr>
    </w:tbl>
    <w:p>
      <w:pPr>
        <w:pStyle w:val="BodyText"/>
        <w:bidi w:val="0"/>
        <w:spacing w:before="0" w:after="240"/>
        <w:rPr>
          <w:bdr w:val="single" w:sz="2" w:space="12" w:color="A8C4B7"/>
        </w:rPr>
      </w:pPr>
      <w:r>
        <w:rPr>
          <w:bdr w:val="single" w:sz="2" w:space="12" w:color="A8C4B7"/>
        </w:rPr>
        <w:t>Scope classification is driven by ownership/control and activity type. Confidence is driven mainly by evidence quality and verification status; ML probability is only a supporting signal.</w:t>
      </w:r>
    </w:p>
    <w:p>
      <w:pPr>
        <w:pStyle w:val="BodyText"/>
        <w:bidi w:val="0"/>
        <w:spacing w:before="320" w:after="140"/>
        <w:ind w:hanging="0" w:start="0" w:end="0"/>
        <w:rPr>
          <w:b/>
          <w:color w:val="FFFFFF"/>
          <w:sz w:val="26"/>
          <w:shd w:fill="176B4D" w:val="clear"/>
        </w:rPr>
      </w:pPr>
      <w:r>
        <w:rPr>
          <w:b/>
          <w:color w:val="FFFFFF"/>
          <w:sz w:val="26"/>
          <w:shd w:fill="176B4D" w:val="clear"/>
        </w:rPr>
        <w:t>Layer 10 — Final inventory generator</w:t>
      </w:r>
    </w:p>
    <w:p>
      <w:pPr>
        <w:pStyle w:val="BodyText"/>
        <w:bidi w:val="0"/>
        <w:spacing w:before="0" w:after="240"/>
        <w:ind w:hanging="0" w:start="0" w:end="0"/>
        <w:rPr>
          <w:bdr w:val="single" w:sz="2" w:space="12" w:color="A8C4B7"/>
        </w:rPr>
      </w:pPr>
      <w:r>
        <w:rPr>
          <w:b/>
          <w:color w:val="145A43"/>
          <w:bdr w:val="single" w:sz="2" w:space="12" w:color="A8C4B7"/>
        </w:rPr>
        <w:t>Purpose:</w:t>
      </w:r>
      <w:r>
        <w:rPr>
          <w:bdr w:val="single" w:sz="2" w:space="12" w:color="A8C4B7"/>
        </w:rPr>
        <w:t xml:space="preserve"> Produce a reviewable, versioned source register and a list of unresolved gaps.</w:t>
      </w:r>
    </w:p>
    <w:p>
      <w:pPr>
        <w:pStyle w:val="BodyText"/>
        <w:bidi w:val="0"/>
        <w:spacing w:before="0" w:after="240"/>
        <w:rPr>
          <w:bdr w:val="single" w:sz="2" w:space="12" w:color="A8C4B7"/>
        </w:rPr>
      </w:pPr>
      <w:r>
        <w:rPr>
          <w:bdr w:val="single" w:sz="2" w:space="12" w:color="A8C4B7"/>
        </w:rPr>
        <w:t>The inventory includes the industry context, process, equipment, emission-generating mechanism, source type, provisional scope, status, evidence, rationale, confidence, required future activity data and responsible verifier.</w:t>
      </w:r>
    </w:p>
    <w:p>
      <w:pPr>
        <w:pStyle w:val="Heading1"/>
        <w:bidi w:val="0"/>
        <w:ind w:hanging="0" w:start="0" w:end="0"/>
        <w:rPr/>
      </w:pPr>
      <w:r>
        <w:rPr/>
        <w:t>4. ML engine: role, inputs and safeguards</w:t>
      </w:r>
    </w:p>
    <w:p>
      <w:pPr>
        <w:pStyle w:val="Heading2"/>
        <w:bidi w:val="0"/>
        <w:rPr/>
      </w:pPr>
      <w:r>
        <w:rPr/>
        <w:t>4.1 Exact placement</w:t>
      </w:r>
    </w:p>
    <w:p>
      <w:pPr>
        <w:pStyle w:val="BodyText"/>
        <w:keepLines/>
        <w:bidi w:val="0"/>
        <w:spacing w:before="160" w:after="240"/>
        <w:ind w:hanging="0" w:start="160" w:end="160"/>
        <w:rPr>
          <w:rFonts w:ascii="Liberation Mono;Consolas;monospace" w:hAnsi="Liberation Mono;Consolas;monospace"/>
          <w:color w:val="385148"/>
          <w:sz w:val="18"/>
        </w:rPr>
      </w:pPr>
      <w:r>
        <w:rPr>
          <w:rFonts w:ascii="Liberation Mono;Consolas;monospace" w:hAnsi="Liberation Mono;Consolas;monospace"/>
          <w:color w:val="385148"/>
          <w:sz w:val="18"/>
        </w:rPr>
        <w:t>Structured facility facts + free-text descriptions ↓ Entity extraction and normalization ↓ Knowledge-base semantic retrieval ↓ Multi-label candidate ranking ↓ Missing-source/gap detection ↓ Targeted verification questions ↓ Human/evidence confirmation</w:t>
      </w:r>
    </w:p>
    <w:p>
      <w:pPr>
        <w:pStyle w:val="Heading2"/>
        <w:bidi w:val="0"/>
        <w:rPr/>
      </w:pPr>
      <w:r>
        <w:rPr/>
        <w:t>4.2 ML input and output contract</w:t>
      </w:r>
    </w:p>
    <w:tbl>
      <w:tblPr>
        <w:tblW w:w="5185" w:type="dxa"/>
        <w:jc w:val="start"/>
        <w:tblInd w:w="0" w:type="dxa"/>
        <w:tblLayout w:type="fixed"/>
        <w:tblCellMar>
          <w:top w:w="28" w:type="dxa"/>
          <w:start w:w="28" w:type="dxa"/>
          <w:bottom w:w="28" w:type="dxa"/>
          <w:end w:w="28" w:type="dxa"/>
        </w:tblCellMar>
      </w:tblPr>
      <w:tblGrid>
        <w:gridCol w:w="2618"/>
        <w:gridCol w:w="2567"/>
      </w:tblGrid>
      <w:tr>
        <w:trPr/>
        <w:tc>
          <w:tcPr>
            <w:tcW w:w="2618" w:type="dxa"/>
            <w:tcBorders/>
            <w:vAlign w:val="center"/>
          </w:tcPr>
          <w:p>
            <w:pPr>
              <w:pStyle w:val="TableHeading"/>
              <w:suppressLineNumbers/>
              <w:shd w:fill="176B4D" w:val="clear"/>
              <w:bidi w:val="0"/>
              <w:spacing w:before="0" w:after="140"/>
              <w:jc w:val="start"/>
              <w:rPr/>
            </w:pPr>
            <w:r>
              <w:rPr/>
              <w:t>ML inputs</w:t>
            </w:r>
          </w:p>
        </w:tc>
        <w:tc>
          <w:tcPr>
            <w:tcW w:w="2567" w:type="dxa"/>
            <w:tcBorders/>
            <w:vAlign w:val="center"/>
          </w:tcPr>
          <w:p>
            <w:pPr>
              <w:pStyle w:val="TableHeading"/>
              <w:suppressLineNumbers/>
              <w:shd w:fill="176B4D" w:val="clear"/>
              <w:bidi w:val="0"/>
              <w:spacing w:before="0" w:after="140"/>
              <w:jc w:val="start"/>
              <w:rPr/>
            </w:pPr>
            <w:r>
              <w:rPr/>
              <w:t>ML outputs</w:t>
            </w:r>
          </w:p>
        </w:tc>
      </w:tr>
      <w:tr>
        <w:trPr/>
        <w:tc>
          <w:tcPr>
            <w:tcW w:w="2618" w:type="dxa"/>
            <w:tcBorders/>
            <w:vAlign w:val="center"/>
          </w:tcPr>
          <w:p>
            <w:pPr>
              <w:pStyle w:val="TableContents"/>
              <w:bidi w:val="0"/>
              <w:spacing w:before="0" w:after="140"/>
              <w:rPr/>
            </w:pPr>
            <w:r>
              <w:rPr/>
              <w:t>Industry/sub-industry</w:t>
              <w:br/>
              <w:t>Products</w:t>
              <w:br/>
              <w:t>Process descriptions</w:t>
              <w:br/>
              <w:t>Equipment names</w:t>
              <w:br/>
              <w:t>Fuel/energy types</w:t>
              <w:br/>
              <w:t>Materials and chemicals</w:t>
              <w:br/>
              <w:t>Refrigerants/gases</w:t>
              <w:br/>
              <w:t>Waste and wastewater descriptions</w:t>
              <w:br/>
              <w:t>Ownership/outsourcing notes</w:t>
              <w:br/>
              <w:t>Extracted permitted document text</w:t>
            </w:r>
          </w:p>
        </w:tc>
        <w:tc>
          <w:tcPr>
            <w:tcW w:w="2567" w:type="dxa"/>
            <w:tcBorders/>
            <w:vAlign w:val="center"/>
          </w:tcPr>
          <w:p>
            <w:pPr>
              <w:pStyle w:val="TableContents"/>
              <w:bidi w:val="0"/>
              <w:spacing w:before="0" w:after="140"/>
              <w:rPr/>
            </w:pPr>
            <w:r>
              <w:rPr/>
              <w:t>Normalized entities</w:t>
              <w:br/>
              <w:t>Candidate source labels</w:t>
              <w:br/>
              <w:t>Confidence/probability</w:t>
              <w:br/>
              <w:t>Reason/evidence span</w:t>
              <w:br/>
              <w:t>Likely missing field</w:t>
              <w:br/>
              <w:t>Suggested follow-up question</w:t>
              <w:br/>
              <w:t>Similar knowledge-base records</w:t>
              <w:br/>
              <w:t>Model/version identifier</w:t>
            </w:r>
          </w:p>
        </w:tc>
      </w:tr>
    </w:tbl>
    <w:p>
      <w:pPr>
        <w:pStyle w:val="Heading2"/>
        <w:bidi w:val="0"/>
        <w:rPr/>
      </w:pPr>
      <w:r>
        <w:rPr/>
        <w:t>4.3 Recommended MVP implementation</w:t>
      </w:r>
    </w:p>
    <w:p>
      <w:pPr>
        <w:pStyle w:val="BodyText"/>
        <w:bidi w:val="0"/>
        <w:rPr/>
      </w:pPr>
      <w:r>
        <w:rPr/>
        <w:t>A reliable proprietary classifier requires labelled industrial-audit data, which is unlikely to be available during a hackathon. The MVP should therefore use:</w:t>
      </w:r>
    </w:p>
    <w:p>
      <w:pPr>
        <w:pStyle w:val="BodyText"/>
        <w:numPr>
          <w:ilvl w:val="0"/>
          <w:numId w:val="6"/>
        </w:numPr>
        <w:tabs>
          <w:tab w:val="clear" w:pos="1134"/>
          <w:tab w:val="left" w:pos="709" w:leader="none"/>
        </w:tabs>
        <w:bidi w:val="0"/>
        <w:spacing w:before="0" w:after="0"/>
        <w:ind w:hanging="283" w:start="709"/>
        <w:rPr/>
      </w:pPr>
      <w:r>
        <w:rPr/>
        <w:t xml:space="preserve">A curated industry–process–equipment–source knowledge base. </w:t>
      </w:r>
    </w:p>
    <w:p>
      <w:pPr>
        <w:pStyle w:val="BodyText"/>
        <w:numPr>
          <w:ilvl w:val="0"/>
          <w:numId w:val="6"/>
        </w:numPr>
        <w:tabs>
          <w:tab w:val="clear" w:pos="1134"/>
          <w:tab w:val="left" w:pos="709" w:leader="none"/>
        </w:tabs>
        <w:bidi w:val="0"/>
        <w:spacing w:before="0" w:after="0"/>
        <w:ind w:hanging="283" w:start="709"/>
        <w:rPr/>
      </w:pPr>
      <w:r>
        <w:rPr/>
        <w:t xml:space="preserve">A pretrained language model for structured entity extraction from user text. </w:t>
      </w:r>
    </w:p>
    <w:p>
      <w:pPr>
        <w:pStyle w:val="BodyText"/>
        <w:numPr>
          <w:ilvl w:val="0"/>
          <w:numId w:val="6"/>
        </w:numPr>
        <w:tabs>
          <w:tab w:val="clear" w:pos="1134"/>
          <w:tab w:val="left" w:pos="709" w:leader="none"/>
        </w:tabs>
        <w:bidi w:val="0"/>
        <w:spacing w:before="0" w:after="0"/>
        <w:ind w:hanging="283" w:start="709"/>
        <w:rPr/>
      </w:pPr>
      <w:r>
        <w:rPr/>
        <w:t xml:space="preserve">Embedding similarity or retrieval to locate relevant knowledge records. </w:t>
      </w:r>
    </w:p>
    <w:p>
      <w:pPr>
        <w:pStyle w:val="BodyText"/>
        <w:numPr>
          <w:ilvl w:val="0"/>
          <w:numId w:val="6"/>
        </w:numPr>
        <w:tabs>
          <w:tab w:val="clear" w:pos="1134"/>
          <w:tab w:val="left" w:pos="709" w:leader="none"/>
        </w:tabs>
        <w:bidi w:val="0"/>
        <w:spacing w:before="0" w:after="0"/>
        <w:ind w:hanging="283" w:start="709"/>
        <w:rPr/>
      </w:pPr>
      <w:r>
        <w:rPr/>
        <w:t xml:space="preserve">Deterministic rules to validate obvious relationships. </w:t>
      </w:r>
    </w:p>
    <w:p>
      <w:pPr>
        <w:pStyle w:val="BodyText"/>
        <w:numPr>
          <w:ilvl w:val="0"/>
          <w:numId w:val="6"/>
        </w:numPr>
        <w:tabs>
          <w:tab w:val="clear" w:pos="1134"/>
          <w:tab w:val="left" w:pos="709" w:leader="none"/>
        </w:tabs>
        <w:bidi w:val="0"/>
        <w:spacing w:before="0" w:after="0"/>
        <w:ind w:hanging="283" w:start="709"/>
        <w:rPr/>
      </w:pPr>
      <w:r>
        <w:rPr/>
        <w:t xml:space="preserve">Targeted user questions to verify every uncertain source. </w:t>
      </w:r>
    </w:p>
    <w:p>
      <w:pPr>
        <w:pStyle w:val="BodyText"/>
        <w:numPr>
          <w:ilvl w:val="0"/>
          <w:numId w:val="6"/>
        </w:numPr>
        <w:tabs>
          <w:tab w:val="clear" w:pos="1134"/>
          <w:tab w:val="left" w:pos="709" w:leader="none"/>
        </w:tabs>
        <w:bidi w:val="0"/>
        <w:ind w:hanging="283" w:start="709"/>
        <w:rPr/>
      </w:pPr>
      <w:r>
        <w:rPr/>
        <w:t xml:space="preserve">A complete non-ML fallback using forms, rules and the universal checklist. </w:t>
      </w:r>
    </w:p>
    <w:p>
      <w:pPr>
        <w:pStyle w:val="Heading2"/>
        <w:bidi w:val="0"/>
        <w:rPr/>
      </w:pPr>
      <w:r>
        <w:rPr/>
        <w:t>4.4 Safety rules</w:t>
      </w:r>
    </w:p>
    <w:p>
      <w:pPr>
        <w:pStyle w:val="BodyText"/>
        <w:numPr>
          <w:ilvl w:val="0"/>
          <w:numId w:val="7"/>
        </w:numPr>
        <w:tabs>
          <w:tab w:val="clear" w:pos="1134"/>
          <w:tab w:val="left" w:pos="709" w:leader="none"/>
        </w:tabs>
        <w:bidi w:val="0"/>
        <w:spacing w:before="0" w:after="0"/>
        <w:ind w:hanging="283" w:start="709"/>
        <w:rPr/>
      </w:pPr>
      <w:r>
        <w:rPr/>
        <w:t xml:space="preserve">The model cannot create an unsupported source type outside the controlled taxonomy. </w:t>
      </w:r>
    </w:p>
    <w:p>
      <w:pPr>
        <w:pStyle w:val="BodyText"/>
        <w:numPr>
          <w:ilvl w:val="0"/>
          <w:numId w:val="7"/>
        </w:numPr>
        <w:tabs>
          <w:tab w:val="clear" w:pos="1134"/>
          <w:tab w:val="left" w:pos="709" w:leader="none"/>
        </w:tabs>
        <w:bidi w:val="0"/>
        <w:spacing w:before="0" w:after="0"/>
        <w:ind w:hanging="283" w:start="709"/>
        <w:rPr/>
      </w:pPr>
      <w:r>
        <w:rPr/>
        <w:t xml:space="preserve">The model must cite the user fact or knowledge record that caused each suggestion. </w:t>
      </w:r>
    </w:p>
    <w:p>
      <w:pPr>
        <w:pStyle w:val="BodyText"/>
        <w:numPr>
          <w:ilvl w:val="0"/>
          <w:numId w:val="7"/>
        </w:numPr>
        <w:tabs>
          <w:tab w:val="clear" w:pos="1134"/>
          <w:tab w:val="left" w:pos="709" w:leader="none"/>
        </w:tabs>
        <w:bidi w:val="0"/>
        <w:spacing w:before="0" w:after="0"/>
        <w:ind w:hanging="283" w:start="709"/>
        <w:rPr/>
      </w:pPr>
      <w:r>
        <w:rPr/>
        <w:t xml:space="preserve">Low-confidence outputs are questions, not conclusions. </w:t>
      </w:r>
    </w:p>
    <w:p>
      <w:pPr>
        <w:pStyle w:val="BodyText"/>
        <w:numPr>
          <w:ilvl w:val="0"/>
          <w:numId w:val="7"/>
        </w:numPr>
        <w:tabs>
          <w:tab w:val="clear" w:pos="1134"/>
          <w:tab w:val="left" w:pos="709" w:leader="none"/>
        </w:tabs>
        <w:bidi w:val="0"/>
        <w:spacing w:before="0" w:after="0"/>
        <w:ind w:hanging="283" w:start="709"/>
        <w:rPr/>
      </w:pPr>
      <w:r>
        <w:rPr/>
        <w:t xml:space="preserve">Model failure must not block rule-based identification. </w:t>
      </w:r>
    </w:p>
    <w:p>
      <w:pPr>
        <w:pStyle w:val="BodyText"/>
        <w:numPr>
          <w:ilvl w:val="0"/>
          <w:numId w:val="7"/>
        </w:numPr>
        <w:tabs>
          <w:tab w:val="clear" w:pos="1134"/>
          <w:tab w:val="left" w:pos="709" w:leader="none"/>
        </w:tabs>
        <w:bidi w:val="0"/>
        <w:spacing w:before="0" w:after="0"/>
        <w:ind w:hanging="283" w:start="709"/>
        <w:rPr/>
      </w:pPr>
      <w:r>
        <w:rPr/>
        <w:t xml:space="preserve">Prompts and outputs must not contain invented emission factors or quantities. </w:t>
      </w:r>
    </w:p>
    <w:p>
      <w:pPr>
        <w:pStyle w:val="BodyText"/>
        <w:numPr>
          <w:ilvl w:val="0"/>
          <w:numId w:val="7"/>
        </w:numPr>
        <w:tabs>
          <w:tab w:val="clear" w:pos="1134"/>
          <w:tab w:val="left" w:pos="709" w:leader="none"/>
        </w:tabs>
        <w:bidi w:val="0"/>
        <w:ind w:hanging="283" w:start="709"/>
        <w:rPr/>
      </w:pPr>
      <w:r>
        <w:rPr/>
        <w:t xml:space="preserve">Model and knowledge-base versions are recorded with the assessment. </w:t>
      </w:r>
    </w:p>
    <w:p>
      <w:pPr>
        <w:pStyle w:val="Heading2"/>
        <w:bidi w:val="0"/>
        <w:rPr/>
      </w:pPr>
      <w:r>
        <w:rPr/>
        <w:t>4.5 Later model-training path</w:t>
      </w:r>
    </w:p>
    <w:p>
      <w:pPr>
        <w:pStyle w:val="BodyText"/>
        <w:bidi w:val="0"/>
        <w:rPr/>
      </w:pPr>
      <w:r>
        <w:rPr/>
        <w:t>After expert-reviewed source inventories are collected, the task can become supervised multi-label classification. Features would include industry, product, process, equipment, materials and flows; labels would be the verified source categories. Training, validation and testing must be separated by company or facility to avoid memorizing one organization’s patterns.</w:t>
      </w:r>
    </w:p>
    <w:p>
      <w:pPr>
        <w:pStyle w:val="Heading1"/>
        <w:bidi w:val="0"/>
        <w:ind w:hanging="0" w:start="0" w:end="0"/>
        <w:rPr/>
      </w:pPr>
      <w:r>
        <w:rPr/>
        <w:t>5. Universal source taxonomy and scope mapping</w:t>
      </w:r>
    </w:p>
    <w:tbl>
      <w:tblPr>
        <w:tblW w:w="5185" w:type="dxa"/>
        <w:jc w:val="start"/>
        <w:tblInd w:w="0" w:type="dxa"/>
        <w:tblLayout w:type="fixed"/>
        <w:tblCellMar>
          <w:top w:w="28" w:type="dxa"/>
          <w:start w:w="28" w:type="dxa"/>
          <w:bottom w:w="28" w:type="dxa"/>
          <w:end w:w="28" w:type="dxa"/>
        </w:tblCellMar>
      </w:tblPr>
      <w:tblGrid>
        <w:gridCol w:w="1456"/>
        <w:gridCol w:w="1900"/>
        <w:gridCol w:w="1829"/>
      </w:tblGrid>
      <w:tr>
        <w:trPr/>
        <w:tc>
          <w:tcPr>
            <w:tcW w:w="1456" w:type="dxa"/>
            <w:tcBorders/>
            <w:vAlign w:val="center"/>
          </w:tcPr>
          <w:p>
            <w:pPr>
              <w:pStyle w:val="TableHeading"/>
              <w:suppressLineNumbers/>
              <w:shd w:fill="176B4D" w:val="clear"/>
              <w:bidi w:val="0"/>
              <w:spacing w:before="0" w:after="140"/>
              <w:jc w:val="start"/>
              <w:rPr/>
            </w:pPr>
            <w:r>
              <w:rPr/>
              <w:t>Source family</w:t>
            </w:r>
          </w:p>
        </w:tc>
        <w:tc>
          <w:tcPr>
            <w:tcW w:w="1900" w:type="dxa"/>
            <w:tcBorders/>
            <w:vAlign w:val="center"/>
          </w:tcPr>
          <w:p>
            <w:pPr>
              <w:pStyle w:val="TableHeading"/>
              <w:suppressLineNumbers/>
              <w:shd w:fill="176B4D" w:val="clear"/>
              <w:bidi w:val="0"/>
              <w:spacing w:before="0" w:after="140"/>
              <w:jc w:val="start"/>
              <w:rPr/>
            </w:pPr>
            <w:r>
              <w:rPr/>
              <w:t>Typical triggers</w:t>
            </w:r>
          </w:p>
        </w:tc>
        <w:tc>
          <w:tcPr>
            <w:tcW w:w="1829" w:type="dxa"/>
            <w:tcBorders/>
            <w:vAlign w:val="center"/>
          </w:tcPr>
          <w:p>
            <w:pPr>
              <w:pStyle w:val="TableHeading"/>
              <w:suppressLineNumbers/>
              <w:shd w:fill="176B4D" w:val="clear"/>
              <w:bidi w:val="0"/>
              <w:spacing w:before="0" w:after="140"/>
              <w:jc w:val="start"/>
              <w:rPr/>
            </w:pPr>
            <w:r>
              <w:rPr/>
              <w:t>Provisional treatment</w:t>
            </w:r>
          </w:p>
        </w:tc>
      </w:tr>
      <w:tr>
        <w:trPr/>
        <w:tc>
          <w:tcPr>
            <w:tcW w:w="1456" w:type="dxa"/>
            <w:tcBorders/>
            <w:vAlign w:val="center"/>
          </w:tcPr>
          <w:p>
            <w:pPr>
              <w:pStyle w:val="TableContents"/>
              <w:bidi w:val="0"/>
              <w:spacing w:before="0" w:after="140"/>
              <w:rPr/>
            </w:pPr>
            <w:r>
              <w:rPr/>
              <w:t>Stationary combustion</w:t>
            </w:r>
          </w:p>
        </w:tc>
        <w:tc>
          <w:tcPr>
            <w:tcW w:w="1900" w:type="dxa"/>
            <w:tcBorders/>
            <w:vAlign w:val="center"/>
          </w:tcPr>
          <w:p>
            <w:pPr>
              <w:pStyle w:val="TableContents"/>
              <w:bidi w:val="0"/>
              <w:spacing w:before="0" w:after="140"/>
              <w:rPr/>
            </w:pPr>
            <w:r>
              <w:rPr/>
              <w:t>Fuel burned in boilers, furnaces, kilns, dryers, ovens, generators or heaters</w:t>
            </w:r>
          </w:p>
        </w:tc>
        <w:tc>
          <w:tcPr>
            <w:tcW w:w="1829" w:type="dxa"/>
            <w:tcBorders/>
            <w:vAlign w:val="center"/>
          </w:tcPr>
          <w:p>
            <w:pPr>
              <w:pStyle w:val="TableContents"/>
              <w:bidi w:val="0"/>
              <w:spacing w:before="0" w:after="140"/>
              <w:rPr/>
            </w:pPr>
            <w:r>
              <w:rPr/>
              <w:t>Usually direct when owned/controlled</w:t>
            </w:r>
          </w:p>
        </w:tc>
      </w:tr>
      <w:tr>
        <w:trPr/>
        <w:tc>
          <w:tcPr>
            <w:tcW w:w="1456" w:type="dxa"/>
            <w:tcBorders/>
            <w:vAlign w:val="center"/>
          </w:tcPr>
          <w:p>
            <w:pPr>
              <w:pStyle w:val="TableContents"/>
              <w:bidi w:val="0"/>
              <w:spacing w:before="0" w:after="140"/>
              <w:rPr/>
            </w:pPr>
            <w:r>
              <w:rPr/>
              <w:t>Mobile combustion</w:t>
            </w:r>
          </w:p>
        </w:tc>
        <w:tc>
          <w:tcPr>
            <w:tcW w:w="1900" w:type="dxa"/>
            <w:tcBorders/>
            <w:vAlign w:val="center"/>
          </w:tcPr>
          <w:p>
            <w:pPr>
              <w:pStyle w:val="TableContents"/>
              <w:bidi w:val="0"/>
              <w:spacing w:before="0" w:after="140"/>
              <w:rPr/>
            </w:pPr>
            <w:r>
              <w:rPr/>
              <w:t>Fuel burned by company-controlled vehicles or mobile equipment</w:t>
            </w:r>
          </w:p>
        </w:tc>
        <w:tc>
          <w:tcPr>
            <w:tcW w:w="1829" w:type="dxa"/>
            <w:tcBorders/>
            <w:vAlign w:val="center"/>
          </w:tcPr>
          <w:p>
            <w:pPr>
              <w:pStyle w:val="TableContents"/>
              <w:bidi w:val="0"/>
              <w:spacing w:before="0" w:after="140"/>
              <w:rPr/>
            </w:pPr>
            <w:r>
              <w:rPr/>
              <w:t>Usually direct when owned/controlled</w:t>
            </w:r>
          </w:p>
        </w:tc>
      </w:tr>
      <w:tr>
        <w:trPr/>
        <w:tc>
          <w:tcPr>
            <w:tcW w:w="1456" w:type="dxa"/>
            <w:tcBorders/>
            <w:vAlign w:val="center"/>
          </w:tcPr>
          <w:p>
            <w:pPr>
              <w:pStyle w:val="TableContents"/>
              <w:bidi w:val="0"/>
              <w:spacing w:before="0" w:after="140"/>
              <w:rPr/>
            </w:pPr>
            <w:r>
              <w:rPr/>
              <w:t>Purchased energy</w:t>
            </w:r>
          </w:p>
        </w:tc>
        <w:tc>
          <w:tcPr>
            <w:tcW w:w="1900" w:type="dxa"/>
            <w:tcBorders/>
            <w:vAlign w:val="center"/>
          </w:tcPr>
          <w:p>
            <w:pPr>
              <w:pStyle w:val="TableContents"/>
              <w:bidi w:val="0"/>
              <w:spacing w:before="0" w:after="140"/>
              <w:rPr/>
            </w:pPr>
            <w:r>
              <w:rPr/>
              <w:t>Purchased electricity, steam, heat or cooling consumed by the facility</w:t>
            </w:r>
          </w:p>
        </w:tc>
        <w:tc>
          <w:tcPr>
            <w:tcW w:w="1829" w:type="dxa"/>
            <w:tcBorders/>
            <w:vAlign w:val="center"/>
          </w:tcPr>
          <w:p>
            <w:pPr>
              <w:pStyle w:val="TableContents"/>
              <w:bidi w:val="0"/>
              <w:spacing w:before="0" w:after="140"/>
              <w:rPr/>
            </w:pPr>
            <w:r>
              <w:rPr/>
              <w:t>Purchased-energy category</w:t>
            </w:r>
          </w:p>
        </w:tc>
      </w:tr>
      <w:tr>
        <w:trPr/>
        <w:tc>
          <w:tcPr>
            <w:tcW w:w="1456" w:type="dxa"/>
            <w:tcBorders/>
            <w:vAlign w:val="center"/>
          </w:tcPr>
          <w:p>
            <w:pPr>
              <w:pStyle w:val="TableContents"/>
              <w:bidi w:val="0"/>
              <w:spacing w:before="0" w:after="140"/>
              <w:rPr/>
            </w:pPr>
            <w:r>
              <w:rPr/>
              <w:t>Industrial process</w:t>
            </w:r>
          </w:p>
        </w:tc>
        <w:tc>
          <w:tcPr>
            <w:tcW w:w="1900" w:type="dxa"/>
            <w:tcBorders/>
            <w:vAlign w:val="center"/>
          </w:tcPr>
          <w:p>
            <w:pPr>
              <w:pStyle w:val="TableContents"/>
              <w:bidi w:val="0"/>
              <w:spacing w:before="0" w:after="140"/>
              <w:rPr/>
            </w:pPr>
            <w:r>
              <w:rPr/>
              <w:t>Physical or chemical transformation that releases a greenhouse gas</w:t>
            </w:r>
          </w:p>
        </w:tc>
        <w:tc>
          <w:tcPr>
            <w:tcW w:w="1829" w:type="dxa"/>
            <w:tcBorders/>
            <w:vAlign w:val="center"/>
          </w:tcPr>
          <w:p>
            <w:pPr>
              <w:pStyle w:val="TableContents"/>
              <w:bidi w:val="0"/>
              <w:spacing w:before="0" w:after="140"/>
              <w:rPr/>
            </w:pPr>
            <w:r>
              <w:rPr/>
              <w:t>Usually direct when performed onsite</w:t>
            </w:r>
          </w:p>
        </w:tc>
      </w:tr>
      <w:tr>
        <w:trPr/>
        <w:tc>
          <w:tcPr>
            <w:tcW w:w="1456" w:type="dxa"/>
            <w:tcBorders/>
            <w:vAlign w:val="center"/>
          </w:tcPr>
          <w:p>
            <w:pPr>
              <w:pStyle w:val="TableContents"/>
              <w:bidi w:val="0"/>
              <w:spacing w:before="0" w:after="140"/>
              <w:rPr/>
            </w:pPr>
            <w:r>
              <w:rPr/>
              <w:t>Fugitive release</w:t>
            </w:r>
          </w:p>
        </w:tc>
        <w:tc>
          <w:tcPr>
            <w:tcW w:w="1900" w:type="dxa"/>
            <w:tcBorders/>
            <w:vAlign w:val="center"/>
          </w:tcPr>
          <w:p>
            <w:pPr>
              <w:pStyle w:val="TableContents"/>
              <w:bidi w:val="0"/>
              <w:spacing w:before="0" w:after="140"/>
              <w:rPr/>
            </w:pPr>
            <w:r>
              <w:rPr/>
              <w:t>Refrigerants, gases, seals, tanks, venting or unintended leakage</w:t>
            </w:r>
          </w:p>
        </w:tc>
        <w:tc>
          <w:tcPr>
            <w:tcW w:w="1829" w:type="dxa"/>
            <w:tcBorders/>
            <w:vAlign w:val="center"/>
          </w:tcPr>
          <w:p>
            <w:pPr>
              <w:pStyle w:val="TableContents"/>
              <w:bidi w:val="0"/>
              <w:spacing w:before="0" w:after="140"/>
              <w:rPr/>
            </w:pPr>
            <w:r>
              <w:rPr/>
              <w:t>Usually direct when equipment is controlled</w:t>
            </w:r>
          </w:p>
        </w:tc>
      </w:tr>
      <w:tr>
        <w:trPr/>
        <w:tc>
          <w:tcPr>
            <w:tcW w:w="1456" w:type="dxa"/>
            <w:tcBorders/>
            <w:vAlign w:val="center"/>
          </w:tcPr>
          <w:p>
            <w:pPr>
              <w:pStyle w:val="TableContents"/>
              <w:bidi w:val="0"/>
              <w:spacing w:before="0" w:after="140"/>
              <w:rPr/>
            </w:pPr>
            <w:r>
              <w:rPr/>
              <w:t>Purchased materials</w:t>
            </w:r>
          </w:p>
        </w:tc>
        <w:tc>
          <w:tcPr>
            <w:tcW w:w="1900" w:type="dxa"/>
            <w:tcBorders/>
            <w:vAlign w:val="center"/>
          </w:tcPr>
          <w:p>
            <w:pPr>
              <w:pStyle w:val="TableContents"/>
              <w:bidi w:val="0"/>
              <w:spacing w:before="0" w:after="140"/>
              <w:rPr/>
            </w:pPr>
            <w:r>
              <w:rPr/>
              <w:t>Raw materials, chemicals, packaging and other production inputs</w:t>
            </w:r>
          </w:p>
        </w:tc>
        <w:tc>
          <w:tcPr>
            <w:tcW w:w="1829" w:type="dxa"/>
            <w:tcBorders/>
            <w:vAlign w:val="center"/>
          </w:tcPr>
          <w:p>
            <w:pPr>
              <w:pStyle w:val="TableContents"/>
              <w:bidi w:val="0"/>
              <w:spacing w:before="0" w:after="140"/>
              <w:rPr/>
            </w:pPr>
            <w:r>
              <w:rPr/>
              <w:t>Value-chain candidate</w:t>
            </w:r>
          </w:p>
        </w:tc>
      </w:tr>
      <w:tr>
        <w:trPr/>
        <w:tc>
          <w:tcPr>
            <w:tcW w:w="1456" w:type="dxa"/>
            <w:tcBorders/>
            <w:vAlign w:val="center"/>
          </w:tcPr>
          <w:p>
            <w:pPr>
              <w:pStyle w:val="TableContents"/>
              <w:bidi w:val="0"/>
              <w:spacing w:before="0" w:after="140"/>
              <w:rPr/>
            </w:pPr>
            <w:r>
              <w:rPr/>
              <w:t>Transportation</w:t>
            </w:r>
          </w:p>
        </w:tc>
        <w:tc>
          <w:tcPr>
            <w:tcW w:w="1900" w:type="dxa"/>
            <w:tcBorders/>
            <w:vAlign w:val="center"/>
          </w:tcPr>
          <w:p>
            <w:pPr>
              <w:pStyle w:val="TableContents"/>
              <w:bidi w:val="0"/>
              <w:spacing w:before="0" w:after="140"/>
              <w:rPr/>
            </w:pPr>
            <w:r>
              <w:rPr/>
              <w:t>Inbound/outbound movement by third-party vehicles</w:t>
            </w:r>
          </w:p>
        </w:tc>
        <w:tc>
          <w:tcPr>
            <w:tcW w:w="1829" w:type="dxa"/>
            <w:tcBorders/>
            <w:vAlign w:val="center"/>
          </w:tcPr>
          <w:p>
            <w:pPr>
              <w:pStyle w:val="TableContents"/>
              <w:bidi w:val="0"/>
              <w:spacing w:before="0" w:after="140"/>
              <w:rPr/>
            </w:pPr>
            <w:r>
              <w:rPr/>
              <w:t>Value-chain candidate</w:t>
            </w:r>
          </w:p>
        </w:tc>
      </w:tr>
      <w:tr>
        <w:trPr/>
        <w:tc>
          <w:tcPr>
            <w:tcW w:w="1456" w:type="dxa"/>
            <w:tcBorders/>
            <w:vAlign w:val="center"/>
          </w:tcPr>
          <w:p>
            <w:pPr>
              <w:pStyle w:val="TableContents"/>
              <w:bidi w:val="0"/>
              <w:spacing w:before="0" w:after="140"/>
              <w:rPr/>
            </w:pPr>
            <w:r>
              <w:rPr/>
              <w:t>Waste</w:t>
            </w:r>
          </w:p>
        </w:tc>
        <w:tc>
          <w:tcPr>
            <w:tcW w:w="1900" w:type="dxa"/>
            <w:tcBorders/>
            <w:vAlign w:val="center"/>
          </w:tcPr>
          <w:p>
            <w:pPr>
              <w:pStyle w:val="TableContents"/>
              <w:bidi w:val="0"/>
              <w:spacing w:before="0" w:after="140"/>
              <w:rPr/>
            </w:pPr>
            <w:r>
              <w:rPr/>
              <w:t>Landfill, recycling, incineration, composting, digestion or other treatment</w:t>
            </w:r>
          </w:p>
        </w:tc>
        <w:tc>
          <w:tcPr>
            <w:tcW w:w="1829" w:type="dxa"/>
            <w:tcBorders/>
            <w:vAlign w:val="center"/>
          </w:tcPr>
          <w:p>
            <w:pPr>
              <w:pStyle w:val="TableContents"/>
              <w:bidi w:val="0"/>
              <w:spacing w:before="0" w:after="140"/>
              <w:rPr/>
            </w:pPr>
            <w:r>
              <w:rPr/>
              <w:t>Depends on ownership and treatment route</w:t>
            </w:r>
          </w:p>
        </w:tc>
      </w:tr>
      <w:tr>
        <w:trPr/>
        <w:tc>
          <w:tcPr>
            <w:tcW w:w="1456" w:type="dxa"/>
            <w:tcBorders/>
            <w:vAlign w:val="center"/>
          </w:tcPr>
          <w:p>
            <w:pPr>
              <w:pStyle w:val="TableContents"/>
              <w:bidi w:val="0"/>
              <w:spacing w:before="0" w:after="140"/>
              <w:rPr/>
            </w:pPr>
            <w:r>
              <w:rPr/>
              <w:t>Wastewater</w:t>
            </w:r>
          </w:p>
        </w:tc>
        <w:tc>
          <w:tcPr>
            <w:tcW w:w="1900" w:type="dxa"/>
            <w:tcBorders/>
            <w:vAlign w:val="center"/>
          </w:tcPr>
          <w:p>
            <w:pPr>
              <w:pStyle w:val="TableContents"/>
              <w:bidi w:val="0"/>
              <w:spacing w:before="0" w:after="140"/>
              <w:rPr/>
            </w:pPr>
            <w:r>
              <w:rPr/>
              <w:t>Onsite or offsite biological/chemical treatment</w:t>
            </w:r>
          </w:p>
        </w:tc>
        <w:tc>
          <w:tcPr>
            <w:tcW w:w="1829" w:type="dxa"/>
            <w:tcBorders/>
            <w:vAlign w:val="center"/>
          </w:tcPr>
          <w:p>
            <w:pPr>
              <w:pStyle w:val="TableContents"/>
              <w:bidi w:val="0"/>
              <w:spacing w:before="0" w:after="140"/>
              <w:rPr/>
            </w:pPr>
            <w:r>
              <w:rPr/>
              <w:t>Depends on operational control</w:t>
            </w:r>
          </w:p>
        </w:tc>
      </w:tr>
      <w:tr>
        <w:trPr/>
        <w:tc>
          <w:tcPr>
            <w:tcW w:w="1456" w:type="dxa"/>
            <w:tcBorders/>
            <w:vAlign w:val="center"/>
          </w:tcPr>
          <w:p>
            <w:pPr>
              <w:pStyle w:val="TableContents"/>
              <w:bidi w:val="0"/>
              <w:spacing w:before="0" w:after="140"/>
              <w:rPr/>
            </w:pPr>
            <w:r>
              <w:rPr/>
              <w:t>Outsourced production</w:t>
            </w:r>
          </w:p>
        </w:tc>
        <w:tc>
          <w:tcPr>
            <w:tcW w:w="1900" w:type="dxa"/>
            <w:tcBorders/>
            <w:vAlign w:val="center"/>
          </w:tcPr>
          <w:p>
            <w:pPr>
              <w:pStyle w:val="TableContents"/>
              <w:bidi w:val="0"/>
              <w:spacing w:before="0" w:after="140"/>
              <w:rPr/>
            </w:pPr>
            <w:r>
              <w:rPr/>
              <w:t>Processing performed by suppliers or contractors</w:t>
            </w:r>
          </w:p>
        </w:tc>
        <w:tc>
          <w:tcPr>
            <w:tcW w:w="1829" w:type="dxa"/>
            <w:tcBorders/>
            <w:vAlign w:val="center"/>
          </w:tcPr>
          <w:p>
            <w:pPr>
              <w:pStyle w:val="TableContents"/>
              <w:bidi w:val="0"/>
              <w:spacing w:before="0" w:after="140"/>
              <w:rPr/>
            </w:pPr>
            <w:r>
              <w:rPr/>
              <w:t>Value-chain candidate</w:t>
            </w:r>
          </w:p>
        </w:tc>
      </w:tr>
    </w:tbl>
    <w:p>
      <w:pPr>
        <w:pStyle w:val="BodyText"/>
        <w:keepLines/>
        <w:bidi w:val="0"/>
        <w:spacing w:before="200" w:after="280"/>
        <w:ind w:hanging="0" w:start="200" w:end="200"/>
        <w:rPr>
          <w:color w:val="7A5610"/>
        </w:rPr>
      </w:pPr>
      <w:r>
        <w:rPr>
          <w:b/>
          <w:color w:val="7A5610"/>
        </w:rPr>
        <w:t>Scope is conditional:</w:t>
      </w:r>
      <w:r>
        <w:rPr>
          <w:color w:val="7A5610"/>
        </w:rPr>
        <w:t xml:space="preserve"> The same physical activity may be classified differently depending on ownership, operational control and the selected organizational boundary. The engine must ask these questions instead of assigning scope from equipment name alone.</w:t>
      </w:r>
    </w:p>
    <w:p>
      <w:pPr>
        <w:pStyle w:val="Heading2"/>
        <w:bidi w:val="0"/>
        <w:rPr/>
      </w:pPr>
      <w:r>
        <w:rPr/>
        <w:t>5.1 Universal decision questions</w:t>
      </w:r>
    </w:p>
    <w:p>
      <w:pPr>
        <w:pStyle w:val="BodyText"/>
        <w:numPr>
          <w:ilvl w:val="0"/>
          <w:numId w:val="8"/>
        </w:numPr>
        <w:tabs>
          <w:tab w:val="clear" w:pos="1134"/>
          <w:tab w:val="left" w:pos="709" w:leader="none"/>
        </w:tabs>
        <w:bidi w:val="0"/>
        <w:spacing w:before="0" w:after="0"/>
        <w:ind w:hanging="283" w:start="709"/>
        <w:rPr/>
      </w:pPr>
      <w:r>
        <w:rPr/>
        <w:t xml:space="preserve">Does this activity consume energy or burn a fuel? </w:t>
      </w:r>
    </w:p>
    <w:p>
      <w:pPr>
        <w:pStyle w:val="BodyText"/>
        <w:numPr>
          <w:ilvl w:val="0"/>
          <w:numId w:val="8"/>
        </w:numPr>
        <w:tabs>
          <w:tab w:val="clear" w:pos="1134"/>
          <w:tab w:val="left" w:pos="709" w:leader="none"/>
        </w:tabs>
        <w:bidi w:val="0"/>
        <w:spacing w:before="0" w:after="0"/>
        <w:ind w:hanging="283" w:start="709"/>
        <w:rPr/>
      </w:pPr>
      <w:r>
        <w:rPr/>
        <w:t xml:space="preserve">Does it chemically or physically transform a carbon-containing or greenhouse-gas-containing material? </w:t>
      </w:r>
    </w:p>
    <w:p>
      <w:pPr>
        <w:pStyle w:val="BodyText"/>
        <w:numPr>
          <w:ilvl w:val="0"/>
          <w:numId w:val="8"/>
        </w:numPr>
        <w:tabs>
          <w:tab w:val="clear" w:pos="1134"/>
          <w:tab w:val="left" w:pos="709" w:leader="none"/>
        </w:tabs>
        <w:bidi w:val="0"/>
        <w:spacing w:before="0" w:after="0"/>
        <w:ind w:hanging="283" w:start="709"/>
        <w:rPr/>
      </w:pPr>
      <w:r>
        <w:rPr/>
        <w:t xml:space="preserve">Does it contain, transfer or release a refrigerant or industrial gas? </w:t>
      </w:r>
    </w:p>
    <w:p>
      <w:pPr>
        <w:pStyle w:val="BodyText"/>
        <w:numPr>
          <w:ilvl w:val="0"/>
          <w:numId w:val="8"/>
        </w:numPr>
        <w:tabs>
          <w:tab w:val="clear" w:pos="1134"/>
          <w:tab w:val="left" w:pos="709" w:leader="none"/>
        </w:tabs>
        <w:bidi w:val="0"/>
        <w:spacing w:before="0" w:after="0"/>
        <w:ind w:hanging="283" w:start="709"/>
        <w:rPr/>
      </w:pPr>
      <w:r>
        <w:rPr/>
        <w:t xml:space="preserve">Does it generate waste, wastewater, residue or by-product? </w:t>
      </w:r>
    </w:p>
    <w:p>
      <w:pPr>
        <w:pStyle w:val="BodyText"/>
        <w:numPr>
          <w:ilvl w:val="0"/>
          <w:numId w:val="8"/>
        </w:numPr>
        <w:tabs>
          <w:tab w:val="clear" w:pos="1134"/>
          <w:tab w:val="left" w:pos="709" w:leader="none"/>
        </w:tabs>
        <w:bidi w:val="0"/>
        <w:spacing w:before="0" w:after="0"/>
        <w:ind w:hanging="283" w:start="709"/>
        <w:rPr/>
      </w:pPr>
      <w:r>
        <w:rPr/>
        <w:t xml:space="preserve">Does transportation occur, and who owns or operates the vehicle? </w:t>
      </w:r>
    </w:p>
    <w:p>
      <w:pPr>
        <w:pStyle w:val="BodyText"/>
        <w:numPr>
          <w:ilvl w:val="0"/>
          <w:numId w:val="8"/>
        </w:numPr>
        <w:tabs>
          <w:tab w:val="clear" w:pos="1134"/>
          <w:tab w:val="left" w:pos="709" w:leader="none"/>
        </w:tabs>
        <w:bidi w:val="0"/>
        <w:spacing w:before="0" w:after="0"/>
        <w:ind w:hanging="283" w:start="709"/>
        <w:rPr/>
      </w:pPr>
      <w:r>
        <w:rPr/>
        <w:t xml:space="preserve">Is the activity onsite, leased, controlled, or outsourced? </w:t>
      </w:r>
    </w:p>
    <w:p>
      <w:pPr>
        <w:pStyle w:val="BodyText"/>
        <w:numPr>
          <w:ilvl w:val="0"/>
          <w:numId w:val="8"/>
        </w:numPr>
        <w:tabs>
          <w:tab w:val="clear" w:pos="1134"/>
          <w:tab w:val="left" w:pos="709" w:leader="none"/>
        </w:tabs>
        <w:bidi w:val="0"/>
        <w:ind w:hanging="283" w:start="709"/>
        <w:rPr/>
      </w:pPr>
      <w:r>
        <w:rPr/>
        <w:t xml:space="preserve">What record can prove presence or absence? </w:t>
      </w:r>
    </w:p>
    <w:p>
      <w:pPr>
        <w:pStyle w:val="Heading1"/>
        <w:bidi w:val="0"/>
        <w:ind w:hanging="0" w:start="0" w:end="0"/>
        <w:rPr/>
      </w:pPr>
      <w:r>
        <w:rPr/>
        <w:t>6. Verification, evidence and confidence</w:t>
      </w:r>
    </w:p>
    <w:p>
      <w:pPr>
        <w:pStyle w:val="Heading2"/>
        <w:bidi w:val="0"/>
        <w:rPr/>
      </w:pPr>
      <w:r>
        <w:rPr/>
        <w:t>6.1 Evidence hierarchy</w:t>
      </w:r>
    </w:p>
    <w:tbl>
      <w:tblPr>
        <w:tblW w:w="5185" w:type="dxa"/>
        <w:jc w:val="start"/>
        <w:tblInd w:w="0" w:type="dxa"/>
        <w:tblLayout w:type="fixed"/>
        <w:tblCellMar>
          <w:top w:w="28" w:type="dxa"/>
          <w:start w:w="28" w:type="dxa"/>
          <w:bottom w:w="28" w:type="dxa"/>
          <w:end w:w="28" w:type="dxa"/>
        </w:tblCellMar>
      </w:tblPr>
      <w:tblGrid>
        <w:gridCol w:w="2055"/>
        <w:gridCol w:w="1458"/>
        <w:gridCol w:w="1672"/>
      </w:tblGrid>
      <w:tr>
        <w:trPr/>
        <w:tc>
          <w:tcPr>
            <w:tcW w:w="2055" w:type="dxa"/>
            <w:tcBorders/>
            <w:vAlign w:val="center"/>
          </w:tcPr>
          <w:p>
            <w:pPr>
              <w:pStyle w:val="TableHeading"/>
              <w:suppressLineNumbers/>
              <w:shd w:fill="176B4D" w:val="clear"/>
              <w:bidi w:val="0"/>
              <w:spacing w:before="0" w:after="140"/>
              <w:jc w:val="start"/>
              <w:rPr/>
            </w:pPr>
            <w:r>
              <w:rPr/>
              <w:t>Evidence level</w:t>
            </w:r>
          </w:p>
        </w:tc>
        <w:tc>
          <w:tcPr>
            <w:tcW w:w="1458" w:type="dxa"/>
            <w:tcBorders/>
            <w:vAlign w:val="center"/>
          </w:tcPr>
          <w:p>
            <w:pPr>
              <w:pStyle w:val="TableHeading"/>
              <w:suppressLineNumbers/>
              <w:shd w:fill="176B4D" w:val="clear"/>
              <w:bidi w:val="0"/>
              <w:spacing w:before="0" w:after="140"/>
              <w:jc w:val="start"/>
              <w:rPr/>
            </w:pPr>
            <w:r>
              <w:rPr/>
              <w:t>Examples</w:t>
            </w:r>
          </w:p>
        </w:tc>
        <w:tc>
          <w:tcPr>
            <w:tcW w:w="1672" w:type="dxa"/>
            <w:tcBorders/>
            <w:vAlign w:val="center"/>
          </w:tcPr>
          <w:p>
            <w:pPr>
              <w:pStyle w:val="TableHeading"/>
              <w:suppressLineNumbers/>
              <w:shd w:fill="176B4D" w:val="clear"/>
              <w:bidi w:val="0"/>
              <w:spacing w:before="0" w:after="140"/>
              <w:jc w:val="start"/>
              <w:rPr/>
            </w:pPr>
            <w:r>
              <w:rPr/>
              <w:t>Interpretation</w:t>
            </w:r>
          </w:p>
        </w:tc>
      </w:tr>
      <w:tr>
        <w:trPr/>
        <w:tc>
          <w:tcPr>
            <w:tcW w:w="2055" w:type="dxa"/>
            <w:tcBorders/>
            <w:vAlign w:val="center"/>
          </w:tcPr>
          <w:p>
            <w:pPr>
              <w:pStyle w:val="TableContents"/>
              <w:bidi w:val="0"/>
              <w:spacing w:before="0" w:after="140"/>
              <w:rPr/>
            </w:pPr>
            <w:r>
              <w:rPr/>
              <w:t>A — Direct documentary</w:t>
            </w:r>
          </w:p>
        </w:tc>
        <w:tc>
          <w:tcPr>
            <w:tcW w:w="1458" w:type="dxa"/>
            <w:tcBorders/>
            <w:vAlign w:val="center"/>
          </w:tcPr>
          <w:p>
            <w:pPr>
              <w:pStyle w:val="TableContents"/>
              <w:bidi w:val="0"/>
              <w:spacing w:before="0" w:after="140"/>
              <w:rPr/>
            </w:pPr>
            <w:r>
              <w:rPr/>
              <w:t>Equipment register, invoice, maintenance log, waste manifest, service record, permit</w:t>
            </w:r>
          </w:p>
        </w:tc>
        <w:tc>
          <w:tcPr>
            <w:tcW w:w="1672" w:type="dxa"/>
            <w:tcBorders/>
            <w:vAlign w:val="center"/>
          </w:tcPr>
          <w:p>
            <w:pPr>
              <w:pStyle w:val="TableContents"/>
              <w:bidi w:val="0"/>
              <w:spacing w:before="0" w:after="140"/>
              <w:rPr/>
            </w:pPr>
            <w:r>
              <w:rPr/>
              <w:t>Strong evidence of existence and attributes</w:t>
            </w:r>
          </w:p>
        </w:tc>
      </w:tr>
      <w:tr>
        <w:trPr/>
        <w:tc>
          <w:tcPr>
            <w:tcW w:w="2055" w:type="dxa"/>
            <w:tcBorders/>
            <w:vAlign w:val="center"/>
          </w:tcPr>
          <w:p>
            <w:pPr>
              <w:pStyle w:val="TableContents"/>
              <w:bidi w:val="0"/>
              <w:spacing w:before="0" w:after="140"/>
              <w:rPr/>
            </w:pPr>
            <w:r>
              <w:rPr/>
              <w:t>B — Operational record</w:t>
            </w:r>
          </w:p>
        </w:tc>
        <w:tc>
          <w:tcPr>
            <w:tcW w:w="1458" w:type="dxa"/>
            <w:tcBorders/>
            <w:vAlign w:val="center"/>
          </w:tcPr>
          <w:p>
            <w:pPr>
              <w:pStyle w:val="TableContents"/>
              <w:bidi w:val="0"/>
              <w:spacing w:before="0" w:after="140"/>
              <w:rPr/>
            </w:pPr>
            <w:r>
              <w:rPr/>
              <w:t>Internal log, SOP, process-flow diagram, asset list</w:t>
            </w:r>
          </w:p>
        </w:tc>
        <w:tc>
          <w:tcPr>
            <w:tcW w:w="1672" w:type="dxa"/>
            <w:tcBorders/>
            <w:vAlign w:val="center"/>
          </w:tcPr>
          <w:p>
            <w:pPr>
              <w:pStyle w:val="TableContents"/>
              <w:bidi w:val="0"/>
              <w:spacing w:before="0" w:after="140"/>
              <w:rPr/>
            </w:pPr>
            <w:r>
              <w:rPr/>
              <w:t>Good internal evidence; may need review</w:t>
            </w:r>
          </w:p>
        </w:tc>
      </w:tr>
      <w:tr>
        <w:trPr/>
        <w:tc>
          <w:tcPr>
            <w:tcW w:w="2055" w:type="dxa"/>
            <w:tcBorders/>
            <w:vAlign w:val="center"/>
          </w:tcPr>
          <w:p>
            <w:pPr>
              <w:pStyle w:val="TableContents"/>
              <w:bidi w:val="0"/>
              <w:spacing w:before="0" w:after="140"/>
              <w:rPr/>
            </w:pPr>
            <w:r>
              <w:rPr/>
              <w:t>C — Responsible-user confirmation</w:t>
            </w:r>
          </w:p>
        </w:tc>
        <w:tc>
          <w:tcPr>
            <w:tcW w:w="1458" w:type="dxa"/>
            <w:tcBorders/>
            <w:vAlign w:val="center"/>
          </w:tcPr>
          <w:p>
            <w:pPr>
              <w:pStyle w:val="TableContents"/>
              <w:bidi w:val="0"/>
              <w:spacing w:before="0" w:after="140"/>
              <w:rPr/>
            </w:pPr>
            <w:r>
              <w:rPr/>
              <w:t>Named operator or manager response</w:t>
            </w:r>
          </w:p>
        </w:tc>
        <w:tc>
          <w:tcPr>
            <w:tcW w:w="1672" w:type="dxa"/>
            <w:tcBorders/>
            <w:vAlign w:val="center"/>
          </w:tcPr>
          <w:p>
            <w:pPr>
              <w:pStyle w:val="TableContents"/>
              <w:bidi w:val="0"/>
              <w:spacing w:before="0" w:after="140"/>
              <w:rPr/>
            </w:pPr>
            <w:r>
              <w:rPr/>
              <w:t>Acceptable for prototype, visibly labelled</w:t>
            </w:r>
          </w:p>
        </w:tc>
      </w:tr>
      <w:tr>
        <w:trPr/>
        <w:tc>
          <w:tcPr>
            <w:tcW w:w="2055" w:type="dxa"/>
            <w:tcBorders/>
            <w:vAlign w:val="center"/>
          </w:tcPr>
          <w:p>
            <w:pPr>
              <w:pStyle w:val="TableContents"/>
              <w:bidi w:val="0"/>
              <w:spacing w:before="0" w:after="140"/>
              <w:rPr/>
            </w:pPr>
            <w:r>
              <w:rPr/>
              <w:t>D — Inference only</w:t>
            </w:r>
          </w:p>
        </w:tc>
        <w:tc>
          <w:tcPr>
            <w:tcW w:w="1458" w:type="dxa"/>
            <w:tcBorders/>
            <w:vAlign w:val="center"/>
          </w:tcPr>
          <w:p>
            <w:pPr>
              <w:pStyle w:val="TableContents"/>
              <w:bidi w:val="0"/>
              <w:spacing w:before="0" w:after="140"/>
              <w:rPr/>
            </w:pPr>
            <w:r>
              <w:rPr/>
              <w:t>Industry template, rule, ML suggestion or peer pattern</w:t>
            </w:r>
          </w:p>
        </w:tc>
        <w:tc>
          <w:tcPr>
            <w:tcW w:w="1672" w:type="dxa"/>
            <w:tcBorders/>
            <w:vAlign w:val="center"/>
          </w:tcPr>
          <w:p>
            <w:pPr>
              <w:pStyle w:val="TableContents"/>
              <w:bidi w:val="0"/>
              <w:spacing w:before="0" w:after="140"/>
              <w:rPr/>
            </w:pPr>
            <w:r>
              <w:rPr/>
              <w:t>Potential source only; cannot be confirmed</w:t>
            </w:r>
          </w:p>
        </w:tc>
      </w:tr>
    </w:tbl>
    <w:p>
      <w:pPr>
        <w:pStyle w:val="Heading2"/>
        <w:bidi w:val="0"/>
        <w:rPr/>
      </w:pPr>
      <w:r>
        <w:rPr/>
        <w:t>6.2 Confidence design</w:t>
      </w:r>
    </w:p>
    <w:p>
      <w:pPr>
        <w:pStyle w:val="BodyText"/>
        <w:bidi w:val="0"/>
        <w:rPr/>
      </w:pPr>
      <w:r>
        <w:rPr/>
        <w:t>Confidence should be explained rather than presented as an unexplained score. Display the contributing signals:</w:t>
      </w:r>
    </w:p>
    <w:p>
      <w:pPr>
        <w:pStyle w:val="BodyText"/>
        <w:numPr>
          <w:ilvl w:val="0"/>
          <w:numId w:val="9"/>
        </w:numPr>
        <w:tabs>
          <w:tab w:val="clear" w:pos="1134"/>
          <w:tab w:val="left" w:pos="709" w:leader="none"/>
        </w:tabs>
        <w:bidi w:val="0"/>
        <w:spacing w:before="0" w:after="0"/>
        <w:ind w:hanging="283" w:start="709"/>
        <w:rPr/>
      </w:pPr>
      <w:r>
        <w:rPr/>
        <w:t xml:space="preserve">Evidence quality and recency </w:t>
      </w:r>
    </w:p>
    <w:p>
      <w:pPr>
        <w:pStyle w:val="BodyText"/>
        <w:numPr>
          <w:ilvl w:val="0"/>
          <w:numId w:val="9"/>
        </w:numPr>
        <w:tabs>
          <w:tab w:val="clear" w:pos="1134"/>
          <w:tab w:val="left" w:pos="709" w:leader="none"/>
        </w:tabs>
        <w:bidi w:val="0"/>
        <w:spacing w:before="0" w:after="0"/>
        <w:ind w:hanging="283" w:start="709"/>
        <w:rPr/>
      </w:pPr>
      <w:r>
        <w:rPr/>
        <w:t xml:space="preserve">Named user verification </w:t>
      </w:r>
    </w:p>
    <w:p>
      <w:pPr>
        <w:pStyle w:val="BodyText"/>
        <w:numPr>
          <w:ilvl w:val="0"/>
          <w:numId w:val="9"/>
        </w:numPr>
        <w:tabs>
          <w:tab w:val="clear" w:pos="1134"/>
          <w:tab w:val="left" w:pos="709" w:leader="none"/>
        </w:tabs>
        <w:bidi w:val="0"/>
        <w:spacing w:before="0" w:after="0"/>
        <w:ind w:hanging="283" w:start="709"/>
        <w:rPr/>
      </w:pPr>
      <w:r>
        <w:rPr/>
        <w:t xml:space="preserve">Strength of the deterministic process–source rule </w:t>
      </w:r>
    </w:p>
    <w:p>
      <w:pPr>
        <w:pStyle w:val="BodyText"/>
        <w:numPr>
          <w:ilvl w:val="0"/>
          <w:numId w:val="9"/>
        </w:numPr>
        <w:tabs>
          <w:tab w:val="clear" w:pos="1134"/>
          <w:tab w:val="left" w:pos="709" w:leader="none"/>
        </w:tabs>
        <w:bidi w:val="0"/>
        <w:spacing w:before="0" w:after="0"/>
        <w:ind w:hanging="283" w:start="709"/>
        <w:rPr/>
      </w:pPr>
      <w:r>
        <w:rPr/>
        <w:t xml:space="preserve">Completeness of required fields </w:t>
      </w:r>
    </w:p>
    <w:p>
      <w:pPr>
        <w:pStyle w:val="BodyText"/>
        <w:numPr>
          <w:ilvl w:val="0"/>
          <w:numId w:val="9"/>
        </w:numPr>
        <w:tabs>
          <w:tab w:val="clear" w:pos="1134"/>
          <w:tab w:val="left" w:pos="709" w:leader="none"/>
        </w:tabs>
        <w:bidi w:val="0"/>
        <w:ind w:hanging="283" w:start="709"/>
        <w:rPr/>
      </w:pPr>
      <w:r>
        <w:rPr/>
        <w:t xml:space="preserve">ML agreement as a minor supporting signal </w:t>
      </w:r>
    </w:p>
    <w:p>
      <w:pPr>
        <w:pStyle w:val="BodyText"/>
        <w:bidi w:val="0"/>
        <w:rPr/>
      </w:pPr>
      <w:r>
        <w:rPr/>
        <w:t xml:space="preserve">A hard rule applies: </w:t>
      </w:r>
      <w:r>
        <w:rPr>
          <w:b/>
        </w:rPr>
        <w:t>inference alone cannot produce “confirmed” status, regardless of model confidence.</w:t>
      </w:r>
    </w:p>
    <w:p>
      <w:pPr>
        <w:pStyle w:val="Heading2"/>
        <w:bidi w:val="0"/>
        <w:rPr/>
      </w:pPr>
      <w:r>
        <w:rPr/>
        <w:t>6.3 Completeness indicators</w:t>
      </w:r>
    </w:p>
    <w:p>
      <w:pPr>
        <w:pStyle w:val="BodyText"/>
        <w:bidi w:val="0"/>
        <w:rPr/>
      </w:pPr>
      <w:r>
        <w:rPr/>
        <w:t>Report completeness separately from confidence:</w:t>
      </w:r>
    </w:p>
    <w:p>
      <w:pPr>
        <w:pStyle w:val="BodyText"/>
        <w:numPr>
          <w:ilvl w:val="0"/>
          <w:numId w:val="10"/>
        </w:numPr>
        <w:tabs>
          <w:tab w:val="clear" w:pos="1134"/>
          <w:tab w:val="left" w:pos="709" w:leader="none"/>
        </w:tabs>
        <w:bidi w:val="0"/>
        <w:spacing w:before="0" w:after="0"/>
        <w:ind w:hanging="283" w:start="709"/>
        <w:rPr/>
      </w:pPr>
      <w:r>
        <w:rPr/>
        <w:t xml:space="preserve">Percentage of universal source families reviewed </w:t>
      </w:r>
    </w:p>
    <w:p>
      <w:pPr>
        <w:pStyle w:val="BodyText"/>
        <w:numPr>
          <w:ilvl w:val="0"/>
          <w:numId w:val="10"/>
        </w:numPr>
        <w:tabs>
          <w:tab w:val="clear" w:pos="1134"/>
          <w:tab w:val="left" w:pos="709" w:leader="none"/>
        </w:tabs>
        <w:bidi w:val="0"/>
        <w:spacing w:before="0" w:after="0"/>
        <w:ind w:hanging="283" w:start="709"/>
        <w:rPr/>
      </w:pPr>
      <w:r>
        <w:rPr/>
        <w:t xml:space="preserve">Percentage of facility processes mapped to equipment and inputs/outputs </w:t>
      </w:r>
    </w:p>
    <w:p>
      <w:pPr>
        <w:pStyle w:val="BodyText"/>
        <w:numPr>
          <w:ilvl w:val="0"/>
          <w:numId w:val="10"/>
        </w:numPr>
        <w:tabs>
          <w:tab w:val="clear" w:pos="1134"/>
          <w:tab w:val="left" w:pos="709" w:leader="none"/>
        </w:tabs>
        <w:bidi w:val="0"/>
        <w:spacing w:before="0" w:after="0"/>
        <w:ind w:hanging="283" w:start="709"/>
        <w:rPr/>
      </w:pPr>
      <w:r>
        <w:rPr/>
        <w:t xml:space="preserve">Number of potential sources awaiting answers </w:t>
      </w:r>
    </w:p>
    <w:p>
      <w:pPr>
        <w:pStyle w:val="BodyText"/>
        <w:numPr>
          <w:ilvl w:val="0"/>
          <w:numId w:val="10"/>
        </w:numPr>
        <w:tabs>
          <w:tab w:val="clear" w:pos="1134"/>
          <w:tab w:val="left" w:pos="709" w:leader="none"/>
        </w:tabs>
        <w:bidi w:val="0"/>
        <w:spacing w:before="0" w:after="0"/>
        <w:ind w:hanging="283" w:start="709"/>
        <w:rPr/>
      </w:pPr>
      <w:r>
        <w:rPr/>
        <w:t xml:space="preserve">Number of confirmed sources missing supporting documents </w:t>
      </w:r>
    </w:p>
    <w:p>
      <w:pPr>
        <w:pStyle w:val="BodyText"/>
        <w:numPr>
          <w:ilvl w:val="0"/>
          <w:numId w:val="10"/>
        </w:numPr>
        <w:tabs>
          <w:tab w:val="clear" w:pos="1134"/>
          <w:tab w:val="left" w:pos="709" w:leader="none"/>
        </w:tabs>
        <w:bidi w:val="0"/>
        <w:ind w:hanging="283" w:start="709"/>
        <w:rPr/>
      </w:pPr>
      <w:r>
        <w:rPr/>
        <w:t xml:space="preserve">Number of outsourced activities lacking counterparty details </w:t>
      </w:r>
    </w:p>
    <w:p>
      <w:pPr>
        <w:pStyle w:val="Heading1"/>
        <w:bidi w:val="0"/>
        <w:ind w:hanging="0" w:start="0" w:end="0"/>
        <w:rPr/>
      </w:pPr>
      <w:r>
        <w:rPr/>
        <w:t>7. Final emission-source inventory</w:t>
      </w:r>
    </w:p>
    <w:p>
      <w:pPr>
        <w:pStyle w:val="Heading2"/>
        <w:bidi w:val="0"/>
        <w:rPr/>
      </w:pPr>
      <w:r>
        <w:rPr/>
        <w:t>7.1 Required fields</w:t>
      </w:r>
    </w:p>
    <w:tbl>
      <w:tblPr>
        <w:tblW w:w="5185" w:type="dxa"/>
        <w:jc w:val="start"/>
        <w:tblInd w:w="0" w:type="dxa"/>
        <w:tblLayout w:type="fixed"/>
        <w:tblCellMar>
          <w:top w:w="28" w:type="dxa"/>
          <w:start w:w="28" w:type="dxa"/>
          <w:bottom w:w="28" w:type="dxa"/>
          <w:end w:w="28" w:type="dxa"/>
        </w:tblCellMar>
      </w:tblPr>
      <w:tblGrid>
        <w:gridCol w:w="1595"/>
        <w:gridCol w:w="3590"/>
      </w:tblGrid>
      <w:tr>
        <w:trPr/>
        <w:tc>
          <w:tcPr>
            <w:tcW w:w="1595" w:type="dxa"/>
            <w:tcBorders/>
            <w:vAlign w:val="center"/>
          </w:tcPr>
          <w:p>
            <w:pPr>
              <w:pStyle w:val="TableHeading"/>
              <w:suppressLineNumbers/>
              <w:shd w:fill="176B4D" w:val="clear"/>
              <w:bidi w:val="0"/>
              <w:spacing w:before="0" w:after="140"/>
              <w:jc w:val="start"/>
              <w:rPr/>
            </w:pPr>
            <w:r>
              <w:rPr/>
              <w:t>Field group</w:t>
            </w:r>
          </w:p>
        </w:tc>
        <w:tc>
          <w:tcPr>
            <w:tcW w:w="3590" w:type="dxa"/>
            <w:tcBorders/>
            <w:vAlign w:val="center"/>
          </w:tcPr>
          <w:p>
            <w:pPr>
              <w:pStyle w:val="TableHeading"/>
              <w:suppressLineNumbers/>
              <w:shd w:fill="176B4D" w:val="clear"/>
              <w:bidi w:val="0"/>
              <w:spacing w:before="0" w:after="140"/>
              <w:jc w:val="start"/>
              <w:rPr/>
            </w:pPr>
            <w:r>
              <w:rPr/>
              <w:t>Required fields</w:t>
            </w:r>
          </w:p>
        </w:tc>
      </w:tr>
      <w:tr>
        <w:trPr/>
        <w:tc>
          <w:tcPr>
            <w:tcW w:w="1595" w:type="dxa"/>
            <w:tcBorders/>
            <w:vAlign w:val="center"/>
          </w:tcPr>
          <w:p>
            <w:pPr>
              <w:pStyle w:val="TableContents"/>
              <w:bidi w:val="0"/>
              <w:spacing w:before="0" w:after="140"/>
              <w:rPr/>
            </w:pPr>
            <w:r>
              <w:rPr/>
              <w:t>Context</w:t>
            </w:r>
          </w:p>
        </w:tc>
        <w:tc>
          <w:tcPr>
            <w:tcW w:w="3590" w:type="dxa"/>
            <w:tcBorders/>
            <w:vAlign w:val="center"/>
          </w:tcPr>
          <w:p>
            <w:pPr>
              <w:pStyle w:val="TableContents"/>
              <w:bidi w:val="0"/>
              <w:spacing w:before="0" w:after="140"/>
              <w:rPr/>
            </w:pPr>
            <w:r>
              <w:rPr/>
              <w:t>Facility, industry, sub-industry, product, reporting boundary</w:t>
            </w:r>
          </w:p>
        </w:tc>
      </w:tr>
      <w:tr>
        <w:trPr/>
        <w:tc>
          <w:tcPr>
            <w:tcW w:w="1595" w:type="dxa"/>
            <w:tcBorders/>
            <w:vAlign w:val="center"/>
          </w:tcPr>
          <w:p>
            <w:pPr>
              <w:pStyle w:val="TableContents"/>
              <w:bidi w:val="0"/>
              <w:spacing w:before="0" w:after="140"/>
              <w:rPr/>
            </w:pPr>
            <w:r>
              <w:rPr/>
              <w:t>Operational location</w:t>
            </w:r>
          </w:p>
        </w:tc>
        <w:tc>
          <w:tcPr>
            <w:tcW w:w="3590" w:type="dxa"/>
            <w:tcBorders/>
            <w:vAlign w:val="center"/>
          </w:tcPr>
          <w:p>
            <w:pPr>
              <w:pStyle w:val="TableContents"/>
              <w:bidi w:val="0"/>
              <w:spacing w:before="0" w:after="140"/>
              <w:rPr/>
            </w:pPr>
            <w:r>
              <w:rPr/>
              <w:t>Process step, equipment/asset, onsite/outsourced</w:t>
            </w:r>
          </w:p>
        </w:tc>
      </w:tr>
      <w:tr>
        <w:trPr/>
        <w:tc>
          <w:tcPr>
            <w:tcW w:w="1595" w:type="dxa"/>
            <w:tcBorders/>
            <w:vAlign w:val="center"/>
          </w:tcPr>
          <w:p>
            <w:pPr>
              <w:pStyle w:val="TableContents"/>
              <w:bidi w:val="0"/>
              <w:spacing w:before="0" w:after="140"/>
              <w:rPr/>
            </w:pPr>
            <w:r>
              <w:rPr/>
              <w:t>Source identity</w:t>
            </w:r>
          </w:p>
        </w:tc>
        <w:tc>
          <w:tcPr>
            <w:tcW w:w="3590" w:type="dxa"/>
            <w:tcBorders/>
            <w:vAlign w:val="center"/>
          </w:tcPr>
          <w:p>
            <w:pPr>
              <w:pStyle w:val="TableContents"/>
              <w:bidi w:val="0"/>
              <w:spacing w:before="0" w:after="140"/>
              <w:rPr/>
            </w:pPr>
            <w:r>
              <w:rPr/>
              <w:t>Source name, source family, emission-generating mechanism</w:t>
            </w:r>
          </w:p>
        </w:tc>
      </w:tr>
      <w:tr>
        <w:trPr/>
        <w:tc>
          <w:tcPr>
            <w:tcW w:w="1595" w:type="dxa"/>
            <w:tcBorders/>
            <w:vAlign w:val="center"/>
          </w:tcPr>
          <w:p>
            <w:pPr>
              <w:pStyle w:val="TableContents"/>
              <w:bidi w:val="0"/>
              <w:spacing w:before="0" w:after="140"/>
              <w:rPr/>
            </w:pPr>
            <w:r>
              <w:rPr/>
              <w:t>Classification</w:t>
            </w:r>
          </w:p>
        </w:tc>
        <w:tc>
          <w:tcPr>
            <w:tcW w:w="3590" w:type="dxa"/>
            <w:tcBorders/>
            <w:vAlign w:val="center"/>
          </w:tcPr>
          <w:p>
            <w:pPr>
              <w:pStyle w:val="TableContents"/>
              <w:bidi w:val="0"/>
              <w:spacing w:before="0" w:after="140"/>
              <w:rPr/>
            </w:pPr>
            <w:r>
              <w:rPr/>
              <w:t>Provisional scope, ownership/control rationale</w:t>
            </w:r>
          </w:p>
        </w:tc>
      </w:tr>
      <w:tr>
        <w:trPr/>
        <w:tc>
          <w:tcPr>
            <w:tcW w:w="1595" w:type="dxa"/>
            <w:tcBorders/>
            <w:vAlign w:val="center"/>
          </w:tcPr>
          <w:p>
            <w:pPr>
              <w:pStyle w:val="TableContents"/>
              <w:bidi w:val="0"/>
              <w:spacing w:before="0" w:after="140"/>
              <w:rPr/>
            </w:pPr>
            <w:r>
              <w:rPr/>
              <w:t>Verification</w:t>
            </w:r>
          </w:p>
        </w:tc>
        <w:tc>
          <w:tcPr>
            <w:tcW w:w="3590" w:type="dxa"/>
            <w:tcBorders/>
            <w:vAlign w:val="center"/>
          </w:tcPr>
          <w:p>
            <w:pPr>
              <w:pStyle w:val="TableContents"/>
              <w:bidi w:val="0"/>
              <w:spacing w:before="0" w:after="140"/>
              <w:rPr/>
            </w:pPr>
            <w:r>
              <w:rPr/>
              <w:t>Status, evidence type/reference, verifier, verification date</w:t>
            </w:r>
          </w:p>
        </w:tc>
      </w:tr>
      <w:tr>
        <w:trPr/>
        <w:tc>
          <w:tcPr>
            <w:tcW w:w="1595" w:type="dxa"/>
            <w:tcBorders/>
            <w:vAlign w:val="center"/>
          </w:tcPr>
          <w:p>
            <w:pPr>
              <w:pStyle w:val="TableContents"/>
              <w:bidi w:val="0"/>
              <w:spacing w:before="0" w:after="140"/>
              <w:rPr/>
            </w:pPr>
            <w:r>
              <w:rPr/>
              <w:t>Explainability</w:t>
            </w:r>
          </w:p>
        </w:tc>
        <w:tc>
          <w:tcPr>
            <w:tcW w:w="3590" w:type="dxa"/>
            <w:tcBorders/>
            <w:vAlign w:val="center"/>
          </w:tcPr>
          <w:p>
            <w:pPr>
              <w:pStyle w:val="TableContents"/>
              <w:bidi w:val="0"/>
              <w:spacing w:before="0" w:after="140"/>
              <w:rPr/>
            </w:pPr>
            <w:r>
              <w:rPr/>
              <w:t>Triggered rule, ML suggestion reason if used, knowledge record/version</w:t>
            </w:r>
          </w:p>
        </w:tc>
      </w:tr>
      <w:tr>
        <w:trPr/>
        <w:tc>
          <w:tcPr>
            <w:tcW w:w="1595" w:type="dxa"/>
            <w:tcBorders/>
            <w:vAlign w:val="center"/>
          </w:tcPr>
          <w:p>
            <w:pPr>
              <w:pStyle w:val="TableContents"/>
              <w:bidi w:val="0"/>
              <w:spacing w:before="0" w:after="140"/>
              <w:rPr/>
            </w:pPr>
            <w:r>
              <w:rPr/>
              <w:t>Readiness</w:t>
            </w:r>
          </w:p>
        </w:tc>
        <w:tc>
          <w:tcPr>
            <w:tcW w:w="3590" w:type="dxa"/>
            <w:tcBorders/>
            <w:vAlign w:val="center"/>
          </w:tcPr>
          <w:p>
            <w:pPr>
              <w:pStyle w:val="TableContents"/>
              <w:bidi w:val="0"/>
              <w:spacing w:before="0" w:after="140"/>
              <w:rPr/>
            </w:pPr>
            <w:r>
              <w:rPr/>
              <w:t>Activity data required later, expected unit, missing fields</w:t>
            </w:r>
          </w:p>
        </w:tc>
      </w:tr>
      <w:tr>
        <w:trPr/>
        <w:tc>
          <w:tcPr>
            <w:tcW w:w="1595" w:type="dxa"/>
            <w:tcBorders/>
            <w:vAlign w:val="center"/>
          </w:tcPr>
          <w:p>
            <w:pPr>
              <w:pStyle w:val="TableContents"/>
              <w:bidi w:val="0"/>
              <w:spacing w:before="0" w:after="140"/>
              <w:rPr/>
            </w:pPr>
            <w:r>
              <w:rPr/>
              <w:t>Governance</w:t>
            </w:r>
          </w:p>
        </w:tc>
        <w:tc>
          <w:tcPr>
            <w:tcW w:w="3590" w:type="dxa"/>
            <w:tcBorders/>
            <w:vAlign w:val="center"/>
          </w:tcPr>
          <w:p>
            <w:pPr>
              <w:pStyle w:val="TableContents"/>
              <w:bidi w:val="0"/>
              <w:spacing w:before="0" w:after="140"/>
              <w:rPr/>
            </w:pPr>
            <w:r>
              <w:rPr/>
              <w:t>Record version, created/updated timestamps, change history</w:t>
            </w:r>
          </w:p>
        </w:tc>
      </w:tr>
    </w:tbl>
    <w:p>
      <w:pPr>
        <w:pStyle w:val="Heading2"/>
        <w:bidi w:val="0"/>
        <w:rPr/>
      </w:pPr>
      <w:r>
        <w:rPr/>
        <w:t>7.2 Example record</w:t>
      </w:r>
    </w:p>
    <w:tbl>
      <w:tblPr>
        <w:tblW w:w="5185" w:type="dxa"/>
        <w:jc w:val="start"/>
        <w:tblInd w:w="0" w:type="dxa"/>
        <w:tblLayout w:type="fixed"/>
        <w:tblCellMar>
          <w:top w:w="28" w:type="dxa"/>
          <w:start w:w="28" w:type="dxa"/>
          <w:bottom w:w="28" w:type="dxa"/>
          <w:end w:w="28" w:type="dxa"/>
        </w:tblCellMar>
      </w:tblPr>
      <w:tblGrid>
        <w:gridCol w:w="1457"/>
        <w:gridCol w:w="3728"/>
      </w:tblGrid>
      <w:tr>
        <w:trPr/>
        <w:tc>
          <w:tcPr>
            <w:tcW w:w="1457" w:type="dxa"/>
            <w:tcBorders/>
            <w:vAlign w:val="center"/>
          </w:tcPr>
          <w:p>
            <w:pPr>
              <w:pStyle w:val="TableHeading"/>
              <w:suppressLineNumbers/>
              <w:shd w:fill="176B4D" w:val="clear"/>
              <w:bidi w:val="0"/>
              <w:spacing w:before="0" w:after="140"/>
              <w:jc w:val="start"/>
              <w:rPr/>
            </w:pPr>
            <w:r>
              <w:rPr/>
              <w:t>Field</w:t>
            </w:r>
          </w:p>
        </w:tc>
        <w:tc>
          <w:tcPr>
            <w:tcW w:w="3728" w:type="dxa"/>
            <w:tcBorders/>
            <w:vAlign w:val="center"/>
          </w:tcPr>
          <w:p>
            <w:pPr>
              <w:pStyle w:val="TableHeading"/>
              <w:suppressLineNumbers/>
              <w:shd w:fill="176B4D" w:val="clear"/>
              <w:bidi w:val="0"/>
              <w:spacing w:before="0" w:after="140"/>
              <w:jc w:val="start"/>
              <w:rPr/>
            </w:pPr>
            <w:r>
              <w:rPr/>
              <w:t>Example value</w:t>
            </w:r>
          </w:p>
        </w:tc>
      </w:tr>
      <w:tr>
        <w:trPr/>
        <w:tc>
          <w:tcPr>
            <w:tcW w:w="1457" w:type="dxa"/>
            <w:tcBorders/>
            <w:vAlign w:val="center"/>
          </w:tcPr>
          <w:p>
            <w:pPr>
              <w:pStyle w:val="TableContents"/>
              <w:bidi w:val="0"/>
              <w:spacing w:before="0" w:after="140"/>
              <w:rPr/>
            </w:pPr>
            <w:r>
              <w:rPr/>
              <w:t>Industry / product</w:t>
            </w:r>
          </w:p>
        </w:tc>
        <w:tc>
          <w:tcPr>
            <w:tcW w:w="3728" w:type="dxa"/>
            <w:tcBorders/>
            <w:vAlign w:val="center"/>
          </w:tcPr>
          <w:p>
            <w:pPr>
              <w:pStyle w:val="TableContents"/>
              <w:bidi w:val="0"/>
              <w:spacing w:before="0" w:after="140"/>
              <w:rPr/>
            </w:pPr>
            <w:r>
              <w:rPr/>
              <w:t>Food processing / pasteurized dairy product</w:t>
            </w:r>
          </w:p>
        </w:tc>
      </w:tr>
      <w:tr>
        <w:trPr/>
        <w:tc>
          <w:tcPr>
            <w:tcW w:w="1457" w:type="dxa"/>
            <w:tcBorders/>
            <w:vAlign w:val="center"/>
          </w:tcPr>
          <w:p>
            <w:pPr>
              <w:pStyle w:val="TableContents"/>
              <w:bidi w:val="0"/>
              <w:spacing w:before="0" w:after="140"/>
              <w:rPr/>
            </w:pPr>
            <w:r>
              <w:rPr/>
              <w:t>Process / equipment</w:t>
            </w:r>
          </w:p>
        </w:tc>
        <w:tc>
          <w:tcPr>
            <w:tcW w:w="3728" w:type="dxa"/>
            <w:tcBorders/>
            <w:vAlign w:val="center"/>
          </w:tcPr>
          <w:p>
            <w:pPr>
              <w:pStyle w:val="TableContents"/>
              <w:bidi w:val="0"/>
              <w:spacing w:before="0" w:after="140"/>
              <w:rPr/>
            </w:pPr>
            <w:r>
              <w:rPr/>
              <w:t>Cold storage / refrigeration unit R-02</w:t>
            </w:r>
          </w:p>
        </w:tc>
      </w:tr>
      <w:tr>
        <w:trPr/>
        <w:tc>
          <w:tcPr>
            <w:tcW w:w="1457" w:type="dxa"/>
            <w:tcBorders/>
            <w:vAlign w:val="center"/>
          </w:tcPr>
          <w:p>
            <w:pPr>
              <w:pStyle w:val="TableContents"/>
              <w:bidi w:val="0"/>
              <w:spacing w:before="0" w:after="140"/>
              <w:rPr/>
            </w:pPr>
            <w:r>
              <w:rPr/>
              <w:t>Candidate source</w:t>
            </w:r>
          </w:p>
        </w:tc>
        <w:tc>
          <w:tcPr>
            <w:tcW w:w="3728" w:type="dxa"/>
            <w:tcBorders/>
            <w:vAlign w:val="center"/>
          </w:tcPr>
          <w:p>
            <w:pPr>
              <w:pStyle w:val="TableContents"/>
              <w:bidi w:val="0"/>
              <w:spacing w:before="0" w:after="140"/>
              <w:rPr/>
            </w:pPr>
            <w:r>
              <w:rPr/>
              <w:t>Refrigerant release during operation or servicing</w:t>
            </w:r>
          </w:p>
        </w:tc>
      </w:tr>
      <w:tr>
        <w:trPr/>
        <w:tc>
          <w:tcPr>
            <w:tcW w:w="1457" w:type="dxa"/>
            <w:tcBorders/>
            <w:vAlign w:val="center"/>
          </w:tcPr>
          <w:p>
            <w:pPr>
              <w:pStyle w:val="TableContents"/>
              <w:bidi w:val="0"/>
              <w:spacing w:before="0" w:after="140"/>
              <w:rPr/>
            </w:pPr>
            <w:r>
              <w:rPr/>
              <w:t>Source family</w:t>
            </w:r>
          </w:p>
        </w:tc>
        <w:tc>
          <w:tcPr>
            <w:tcW w:w="3728" w:type="dxa"/>
            <w:tcBorders/>
            <w:vAlign w:val="center"/>
          </w:tcPr>
          <w:p>
            <w:pPr>
              <w:pStyle w:val="TableContents"/>
              <w:bidi w:val="0"/>
              <w:spacing w:before="0" w:after="140"/>
              <w:rPr/>
            </w:pPr>
            <w:r>
              <w:rPr/>
              <w:t>Fugitive release</w:t>
            </w:r>
          </w:p>
        </w:tc>
      </w:tr>
      <w:tr>
        <w:trPr/>
        <w:tc>
          <w:tcPr>
            <w:tcW w:w="1457" w:type="dxa"/>
            <w:tcBorders/>
            <w:vAlign w:val="center"/>
          </w:tcPr>
          <w:p>
            <w:pPr>
              <w:pStyle w:val="TableContents"/>
              <w:bidi w:val="0"/>
              <w:spacing w:before="0" w:after="140"/>
              <w:rPr/>
            </w:pPr>
            <w:r>
              <w:rPr/>
              <w:t>Provisional scope</w:t>
            </w:r>
          </w:p>
        </w:tc>
        <w:tc>
          <w:tcPr>
            <w:tcW w:w="3728" w:type="dxa"/>
            <w:tcBorders/>
            <w:vAlign w:val="center"/>
          </w:tcPr>
          <w:p>
            <w:pPr>
              <w:pStyle w:val="TableContents"/>
              <w:bidi w:val="0"/>
              <w:spacing w:before="0" w:after="140"/>
              <w:rPr/>
            </w:pPr>
            <w:r>
              <w:rPr/>
              <w:t>Direct, subject to operational-control confirmation</w:t>
            </w:r>
          </w:p>
        </w:tc>
      </w:tr>
      <w:tr>
        <w:trPr/>
        <w:tc>
          <w:tcPr>
            <w:tcW w:w="1457" w:type="dxa"/>
            <w:tcBorders/>
            <w:vAlign w:val="center"/>
          </w:tcPr>
          <w:p>
            <w:pPr>
              <w:pStyle w:val="TableContents"/>
              <w:bidi w:val="0"/>
              <w:spacing w:before="0" w:after="140"/>
              <w:rPr/>
            </w:pPr>
            <w:r>
              <w:rPr/>
              <w:t>Status</w:t>
            </w:r>
          </w:p>
        </w:tc>
        <w:tc>
          <w:tcPr>
            <w:tcW w:w="3728" w:type="dxa"/>
            <w:tcBorders/>
            <w:vAlign w:val="center"/>
          </w:tcPr>
          <w:p>
            <w:pPr>
              <w:pStyle w:val="TableContents"/>
              <w:bidi w:val="0"/>
              <w:spacing w:before="0" w:after="140"/>
              <w:rPr/>
            </w:pPr>
            <w:r>
              <w:rPr/>
              <w:t>Potential — maintenance record requested</w:t>
            </w:r>
          </w:p>
        </w:tc>
      </w:tr>
      <w:tr>
        <w:trPr/>
        <w:tc>
          <w:tcPr>
            <w:tcW w:w="1457" w:type="dxa"/>
            <w:tcBorders/>
            <w:vAlign w:val="center"/>
          </w:tcPr>
          <w:p>
            <w:pPr>
              <w:pStyle w:val="TableContents"/>
              <w:bidi w:val="0"/>
              <w:spacing w:before="0" w:after="140"/>
              <w:rPr/>
            </w:pPr>
            <w:r>
              <w:rPr/>
              <w:t>Why identified</w:t>
            </w:r>
          </w:p>
        </w:tc>
        <w:tc>
          <w:tcPr>
            <w:tcW w:w="3728" w:type="dxa"/>
            <w:tcBorders/>
            <w:vAlign w:val="center"/>
          </w:tcPr>
          <w:p>
            <w:pPr>
              <w:pStyle w:val="TableContents"/>
              <w:bidi w:val="0"/>
              <w:spacing w:before="0" w:after="140"/>
              <w:rPr/>
            </w:pPr>
            <w:r>
              <w:rPr/>
              <w:t>Refrigeration equipment declared; refrigerant field missing</w:t>
            </w:r>
          </w:p>
        </w:tc>
      </w:tr>
      <w:tr>
        <w:trPr/>
        <w:tc>
          <w:tcPr>
            <w:tcW w:w="1457" w:type="dxa"/>
            <w:tcBorders/>
            <w:vAlign w:val="center"/>
          </w:tcPr>
          <w:p>
            <w:pPr>
              <w:pStyle w:val="TableContents"/>
              <w:bidi w:val="0"/>
              <w:spacing w:before="0" w:after="140"/>
              <w:rPr/>
            </w:pPr>
            <w:r>
              <w:rPr/>
              <w:t>ML contribution</w:t>
            </w:r>
          </w:p>
        </w:tc>
        <w:tc>
          <w:tcPr>
            <w:tcW w:w="3728" w:type="dxa"/>
            <w:tcBorders/>
            <w:vAlign w:val="center"/>
          </w:tcPr>
          <w:p>
            <w:pPr>
              <w:pStyle w:val="TableContents"/>
              <w:bidi w:val="0"/>
              <w:spacing w:before="0" w:after="140"/>
              <w:rPr/>
            </w:pPr>
            <w:r>
              <w:rPr/>
              <w:t>Extracted “cold room” from process description and matched refrigeration source</w:t>
            </w:r>
          </w:p>
        </w:tc>
      </w:tr>
      <w:tr>
        <w:trPr/>
        <w:tc>
          <w:tcPr>
            <w:tcW w:w="1457" w:type="dxa"/>
            <w:tcBorders/>
            <w:vAlign w:val="center"/>
          </w:tcPr>
          <w:p>
            <w:pPr>
              <w:pStyle w:val="TableContents"/>
              <w:bidi w:val="0"/>
              <w:spacing w:before="0" w:after="140"/>
              <w:rPr/>
            </w:pPr>
            <w:r>
              <w:rPr/>
              <w:t>Future activity data</w:t>
            </w:r>
          </w:p>
        </w:tc>
        <w:tc>
          <w:tcPr>
            <w:tcW w:w="3728" w:type="dxa"/>
            <w:tcBorders/>
            <w:vAlign w:val="center"/>
          </w:tcPr>
          <w:p>
            <w:pPr>
              <w:pStyle w:val="TableContents"/>
              <w:bidi w:val="0"/>
              <w:spacing w:before="0" w:after="140"/>
              <w:rPr/>
            </w:pPr>
            <w:r>
              <w:rPr/>
              <w:t>Refrigerant type and mass added/removed</w:t>
            </w:r>
          </w:p>
        </w:tc>
      </w:tr>
    </w:tbl>
    <w:p>
      <w:pPr>
        <w:pStyle w:val="Heading2"/>
        <w:bidi w:val="0"/>
        <w:rPr/>
      </w:pPr>
      <w:r>
        <w:rPr/>
        <w:t>7.3 Inventory report views</w:t>
      </w:r>
    </w:p>
    <w:p>
      <w:pPr>
        <w:pStyle w:val="BodyText"/>
        <w:numPr>
          <w:ilvl w:val="0"/>
          <w:numId w:val="11"/>
        </w:numPr>
        <w:tabs>
          <w:tab w:val="clear" w:pos="1134"/>
          <w:tab w:val="left" w:pos="709" w:leader="none"/>
        </w:tabs>
        <w:bidi w:val="0"/>
        <w:spacing w:before="0" w:after="0"/>
        <w:ind w:hanging="283" w:start="709"/>
        <w:rPr/>
      </w:pPr>
      <w:r>
        <w:rPr>
          <w:b/>
        </w:rPr>
        <w:t>Confirmed sources:</w:t>
      </w:r>
      <w:r>
        <w:rPr/>
        <w:t xml:space="preserve"> Ready for activity-data collection. </w:t>
      </w:r>
    </w:p>
    <w:p>
      <w:pPr>
        <w:pStyle w:val="BodyText"/>
        <w:numPr>
          <w:ilvl w:val="0"/>
          <w:numId w:val="11"/>
        </w:numPr>
        <w:tabs>
          <w:tab w:val="clear" w:pos="1134"/>
          <w:tab w:val="left" w:pos="709" w:leader="none"/>
        </w:tabs>
        <w:bidi w:val="0"/>
        <w:spacing w:before="0" w:after="0"/>
        <w:ind w:hanging="283" w:start="709"/>
        <w:rPr/>
      </w:pPr>
      <w:r>
        <w:rPr>
          <w:b/>
        </w:rPr>
        <w:t>Potential sources:</w:t>
      </w:r>
      <w:r>
        <w:rPr/>
        <w:t xml:space="preserve"> Ranked by verification priority, not by estimated emissions. </w:t>
      </w:r>
    </w:p>
    <w:p>
      <w:pPr>
        <w:pStyle w:val="BodyText"/>
        <w:numPr>
          <w:ilvl w:val="0"/>
          <w:numId w:val="11"/>
        </w:numPr>
        <w:tabs>
          <w:tab w:val="clear" w:pos="1134"/>
          <w:tab w:val="left" w:pos="709" w:leader="none"/>
        </w:tabs>
        <w:bidi w:val="0"/>
        <w:spacing w:before="0" w:after="0"/>
        <w:ind w:hanging="283" w:start="709"/>
        <w:rPr/>
      </w:pPr>
      <w:r>
        <w:rPr>
          <w:b/>
        </w:rPr>
        <w:t>Information gaps:</w:t>
      </w:r>
      <w:r>
        <w:rPr/>
        <w:t xml:space="preserve"> Exact question, document or responsible person needed. </w:t>
      </w:r>
    </w:p>
    <w:p>
      <w:pPr>
        <w:pStyle w:val="BodyText"/>
        <w:numPr>
          <w:ilvl w:val="0"/>
          <w:numId w:val="11"/>
        </w:numPr>
        <w:tabs>
          <w:tab w:val="clear" w:pos="1134"/>
          <w:tab w:val="left" w:pos="709" w:leader="none"/>
        </w:tabs>
        <w:bidi w:val="0"/>
        <w:spacing w:before="0" w:after="0"/>
        <w:ind w:hanging="283" w:start="709"/>
        <w:rPr/>
      </w:pPr>
      <w:r>
        <w:rPr>
          <w:b/>
        </w:rPr>
        <w:t>Not applicable:</w:t>
      </w:r>
      <w:r>
        <w:rPr/>
        <w:t xml:space="preserve"> Preserved with rationale to demonstrate completeness. </w:t>
      </w:r>
    </w:p>
    <w:p>
      <w:pPr>
        <w:pStyle w:val="BodyText"/>
        <w:numPr>
          <w:ilvl w:val="0"/>
          <w:numId w:val="11"/>
        </w:numPr>
        <w:tabs>
          <w:tab w:val="clear" w:pos="1134"/>
          <w:tab w:val="left" w:pos="709" w:leader="none"/>
        </w:tabs>
        <w:bidi w:val="0"/>
        <w:ind w:hanging="283" w:start="709"/>
        <w:rPr/>
      </w:pPr>
      <w:r>
        <w:rPr>
          <w:b/>
        </w:rPr>
        <w:t>Outsourced activities:</w:t>
      </w:r>
      <w:r>
        <w:rPr/>
        <w:t xml:space="preserve"> Separated for later value-chain treatment. </w:t>
      </w:r>
    </w:p>
    <w:p>
      <w:pPr>
        <w:pStyle w:val="Heading1"/>
        <w:bidi w:val="0"/>
        <w:ind w:hanging="0" w:start="0" w:end="0"/>
        <w:rPr/>
      </w:pPr>
      <w:r>
        <w:rPr/>
        <w:t>8. Worked example: food-processing facility</w:t>
      </w:r>
    </w:p>
    <w:p>
      <w:pPr>
        <w:pStyle w:val="Heading2"/>
        <w:bidi w:val="0"/>
        <w:rPr/>
      </w:pPr>
      <w:r>
        <w:rPr/>
        <w:t>8.1 User input</w:t>
      </w:r>
    </w:p>
    <w:p>
      <w:pPr>
        <w:pStyle w:val="BodyText"/>
        <w:keepLines/>
        <w:bidi w:val="0"/>
        <w:spacing w:before="160" w:after="240"/>
        <w:ind w:hanging="0" w:start="160" w:end="160"/>
        <w:rPr>
          <w:rFonts w:ascii="Liberation Mono;Consolas;monospace" w:hAnsi="Liberation Mono;Consolas;monospace"/>
          <w:color w:val="385148"/>
          <w:sz w:val="18"/>
        </w:rPr>
      </w:pPr>
      <w:r>
        <w:rPr>
          <w:rFonts w:ascii="Liberation Mono;Consolas;monospace" w:hAnsi="Liberation Mono;Consolas;monospace"/>
          <w:color w:val="385148"/>
          <w:sz w:val="18"/>
        </w:rPr>
        <w:t>Industry: Food processing Product: Pasteurized milk and yogurt Description: “Milk is received and chilled, heated using a diesel boiler, filled into plastic cups, stored in cold rooms and dispatched by a third-party carrier. Organic residue is collected by a local contractor.”</w:t>
      </w:r>
    </w:p>
    <w:p>
      <w:pPr>
        <w:pStyle w:val="Heading2"/>
        <w:bidi w:val="0"/>
        <w:rPr/>
      </w:pPr>
      <w:r>
        <w:rPr/>
        <w:t>8.2 Engine behaviour</w:t>
      </w:r>
    </w:p>
    <w:p>
      <w:pPr>
        <w:pStyle w:val="BodyText"/>
        <w:numPr>
          <w:ilvl w:val="0"/>
          <w:numId w:val="12"/>
        </w:numPr>
        <w:tabs>
          <w:tab w:val="clear" w:pos="1134"/>
          <w:tab w:val="left" w:pos="709" w:leader="none"/>
        </w:tabs>
        <w:bidi w:val="0"/>
        <w:spacing w:before="0" w:after="0"/>
        <w:ind w:hanging="283" w:start="709"/>
        <w:rPr/>
      </w:pPr>
      <w:r>
        <w:rPr/>
        <w:t xml:space="preserve">The food-processing template proposes receiving, chilling, pasteurization, packaging, cold storage, cleaning, waste handling and dispatch. </w:t>
      </w:r>
    </w:p>
    <w:p>
      <w:pPr>
        <w:pStyle w:val="BodyText"/>
        <w:numPr>
          <w:ilvl w:val="0"/>
          <w:numId w:val="12"/>
        </w:numPr>
        <w:tabs>
          <w:tab w:val="clear" w:pos="1134"/>
          <w:tab w:val="left" w:pos="709" w:leader="none"/>
        </w:tabs>
        <w:bidi w:val="0"/>
        <w:spacing w:before="0" w:after="0"/>
        <w:ind w:hanging="283" w:start="709"/>
        <w:rPr/>
      </w:pPr>
      <w:r>
        <w:rPr/>
        <w:t xml:space="preserve">The user confirms the actual process flow and marks transportation and organic-waste treatment as outsourced. </w:t>
      </w:r>
    </w:p>
    <w:p>
      <w:pPr>
        <w:pStyle w:val="BodyText"/>
        <w:numPr>
          <w:ilvl w:val="0"/>
          <w:numId w:val="12"/>
        </w:numPr>
        <w:tabs>
          <w:tab w:val="clear" w:pos="1134"/>
          <w:tab w:val="left" w:pos="709" w:leader="none"/>
        </w:tabs>
        <w:bidi w:val="0"/>
        <w:spacing w:before="0" w:after="0"/>
        <w:ind w:hanging="283" w:start="709"/>
        <w:rPr/>
      </w:pPr>
      <w:r>
        <w:rPr/>
        <w:t xml:space="preserve">The entity extractor identifies milk, chilling, diesel boiler, plastic packaging, cold rooms, third-party carrier and organic residue. </w:t>
      </w:r>
    </w:p>
    <w:p>
      <w:pPr>
        <w:pStyle w:val="BodyText"/>
        <w:numPr>
          <w:ilvl w:val="0"/>
          <w:numId w:val="12"/>
        </w:numPr>
        <w:tabs>
          <w:tab w:val="clear" w:pos="1134"/>
          <w:tab w:val="left" w:pos="709" w:leader="none"/>
        </w:tabs>
        <w:bidi w:val="0"/>
        <w:spacing w:before="0" w:after="0"/>
        <w:ind w:hanging="283" w:start="709"/>
        <w:rPr/>
      </w:pPr>
      <w:r>
        <w:rPr/>
        <w:t xml:space="preserve">Rules identify stationary combustion from the boiler, purchased energy from powered equipment, packaging-material activity and outsourced transport/waste. </w:t>
      </w:r>
    </w:p>
    <w:p>
      <w:pPr>
        <w:pStyle w:val="BodyText"/>
        <w:numPr>
          <w:ilvl w:val="0"/>
          <w:numId w:val="12"/>
        </w:numPr>
        <w:tabs>
          <w:tab w:val="clear" w:pos="1134"/>
          <w:tab w:val="left" w:pos="709" w:leader="none"/>
        </w:tabs>
        <w:bidi w:val="0"/>
        <w:spacing w:before="0" w:after="0"/>
        <w:ind w:hanging="283" w:start="709"/>
        <w:rPr/>
      </w:pPr>
      <w:r>
        <w:rPr/>
        <w:t xml:space="preserve">ML detects that “cold rooms” imply refrigeration but no refrigerant details were supplied. </w:t>
      </w:r>
    </w:p>
    <w:p>
      <w:pPr>
        <w:pStyle w:val="BodyText"/>
        <w:numPr>
          <w:ilvl w:val="0"/>
          <w:numId w:val="12"/>
        </w:numPr>
        <w:tabs>
          <w:tab w:val="clear" w:pos="1134"/>
          <w:tab w:val="left" w:pos="709" w:leader="none"/>
        </w:tabs>
        <w:bidi w:val="0"/>
        <w:spacing w:before="0" w:after="0"/>
        <w:ind w:hanging="283" w:start="709"/>
        <w:rPr/>
      </w:pPr>
      <w:r>
        <w:rPr/>
        <w:t xml:space="preserve">The universal checklist asks about company vehicles, wastewater treatment, cleaning chemicals and backup generators. </w:t>
      </w:r>
    </w:p>
    <w:p>
      <w:pPr>
        <w:pStyle w:val="BodyText"/>
        <w:numPr>
          <w:ilvl w:val="0"/>
          <w:numId w:val="12"/>
        </w:numPr>
        <w:tabs>
          <w:tab w:val="clear" w:pos="1134"/>
          <w:tab w:val="left" w:pos="709" w:leader="none"/>
        </w:tabs>
        <w:bidi w:val="0"/>
        <w:spacing w:before="0" w:after="0"/>
        <w:ind w:hanging="283" w:start="709"/>
        <w:rPr/>
      </w:pPr>
      <w:r>
        <w:rPr/>
        <w:t xml:space="preserve">The verification layer requests the boiler asset record, refrigerant service log, electricity bill, waste receipt and transporter information. </w:t>
      </w:r>
    </w:p>
    <w:p>
      <w:pPr>
        <w:pStyle w:val="BodyText"/>
        <w:numPr>
          <w:ilvl w:val="0"/>
          <w:numId w:val="12"/>
        </w:numPr>
        <w:tabs>
          <w:tab w:val="clear" w:pos="1134"/>
          <w:tab w:val="left" w:pos="709" w:leader="none"/>
        </w:tabs>
        <w:bidi w:val="0"/>
        <w:ind w:hanging="283" w:start="709"/>
        <w:rPr/>
      </w:pPr>
      <w:r>
        <w:rPr/>
        <w:t xml:space="preserve">The final inventory separates confirmed sources from potential refrigerant and wastewater sources awaiting evidence. </w:t>
      </w:r>
    </w:p>
    <w:p>
      <w:pPr>
        <w:pStyle w:val="Heading2"/>
        <w:bidi w:val="0"/>
        <w:rPr/>
      </w:pPr>
      <w:r>
        <w:rPr/>
        <w:t>8.3 Illustrative output</w:t>
      </w:r>
    </w:p>
    <w:tbl>
      <w:tblPr>
        <w:tblW w:w="5185" w:type="dxa"/>
        <w:jc w:val="start"/>
        <w:tblInd w:w="0" w:type="dxa"/>
        <w:tblLayout w:type="fixed"/>
        <w:tblCellMar>
          <w:top w:w="28" w:type="dxa"/>
          <w:start w:w="28" w:type="dxa"/>
          <w:bottom w:w="28" w:type="dxa"/>
          <w:end w:w="28" w:type="dxa"/>
        </w:tblCellMar>
      </w:tblPr>
      <w:tblGrid>
        <w:gridCol w:w="1506"/>
        <w:gridCol w:w="1249"/>
        <w:gridCol w:w="1221"/>
        <w:gridCol w:w="1209"/>
      </w:tblGrid>
      <w:tr>
        <w:trPr/>
        <w:tc>
          <w:tcPr>
            <w:tcW w:w="1506" w:type="dxa"/>
            <w:tcBorders/>
            <w:vAlign w:val="center"/>
          </w:tcPr>
          <w:p>
            <w:pPr>
              <w:pStyle w:val="TableHeading"/>
              <w:suppressLineNumbers/>
              <w:shd w:fill="176B4D" w:val="clear"/>
              <w:bidi w:val="0"/>
              <w:spacing w:before="0" w:after="140"/>
              <w:jc w:val="start"/>
              <w:rPr/>
            </w:pPr>
            <w:r>
              <w:rPr/>
              <w:t>Source</w:t>
            </w:r>
          </w:p>
        </w:tc>
        <w:tc>
          <w:tcPr>
            <w:tcW w:w="1249" w:type="dxa"/>
            <w:tcBorders/>
            <w:vAlign w:val="center"/>
          </w:tcPr>
          <w:p>
            <w:pPr>
              <w:pStyle w:val="TableHeading"/>
              <w:suppressLineNumbers/>
              <w:shd w:fill="176B4D" w:val="clear"/>
              <w:bidi w:val="0"/>
              <w:spacing w:before="0" w:after="140"/>
              <w:jc w:val="start"/>
              <w:rPr/>
            </w:pPr>
            <w:r>
              <w:rPr/>
              <w:t>Status</w:t>
            </w:r>
          </w:p>
        </w:tc>
        <w:tc>
          <w:tcPr>
            <w:tcW w:w="1221" w:type="dxa"/>
            <w:tcBorders/>
            <w:vAlign w:val="center"/>
          </w:tcPr>
          <w:p>
            <w:pPr>
              <w:pStyle w:val="TableHeading"/>
              <w:suppressLineNumbers/>
              <w:shd w:fill="176B4D" w:val="clear"/>
              <w:bidi w:val="0"/>
              <w:spacing w:before="0" w:after="140"/>
              <w:jc w:val="start"/>
              <w:rPr/>
            </w:pPr>
            <w:r>
              <w:rPr/>
              <w:t>Reason</w:t>
            </w:r>
          </w:p>
        </w:tc>
        <w:tc>
          <w:tcPr>
            <w:tcW w:w="1209" w:type="dxa"/>
            <w:tcBorders/>
            <w:vAlign w:val="center"/>
          </w:tcPr>
          <w:p>
            <w:pPr>
              <w:pStyle w:val="TableHeading"/>
              <w:suppressLineNumbers/>
              <w:shd w:fill="176B4D" w:val="clear"/>
              <w:bidi w:val="0"/>
              <w:spacing w:before="0" w:after="140"/>
              <w:jc w:val="start"/>
              <w:rPr/>
            </w:pPr>
            <w:r>
              <w:rPr/>
              <w:t>Next evidence/action</w:t>
            </w:r>
          </w:p>
        </w:tc>
      </w:tr>
      <w:tr>
        <w:trPr/>
        <w:tc>
          <w:tcPr>
            <w:tcW w:w="1506" w:type="dxa"/>
            <w:tcBorders/>
            <w:vAlign w:val="center"/>
          </w:tcPr>
          <w:p>
            <w:pPr>
              <w:pStyle w:val="TableContents"/>
              <w:bidi w:val="0"/>
              <w:spacing w:before="0" w:after="140"/>
              <w:rPr/>
            </w:pPr>
            <w:r>
              <w:rPr/>
              <w:t>Diesel combustion in boiler</w:t>
            </w:r>
          </w:p>
        </w:tc>
        <w:tc>
          <w:tcPr>
            <w:tcW w:w="1249" w:type="dxa"/>
            <w:tcBorders/>
            <w:vAlign w:val="center"/>
          </w:tcPr>
          <w:p>
            <w:pPr>
              <w:pStyle w:val="TableContents"/>
              <w:bidi w:val="0"/>
              <w:spacing w:before="0" w:after="140"/>
              <w:rPr/>
            </w:pPr>
            <w:r>
              <w:rPr/>
              <w:t>Confirmed</w:t>
            </w:r>
          </w:p>
        </w:tc>
        <w:tc>
          <w:tcPr>
            <w:tcW w:w="1221" w:type="dxa"/>
            <w:tcBorders/>
            <w:vAlign w:val="center"/>
          </w:tcPr>
          <w:p>
            <w:pPr>
              <w:pStyle w:val="TableContents"/>
              <w:bidi w:val="0"/>
              <w:spacing w:before="0" w:after="140"/>
              <w:rPr/>
            </w:pPr>
            <w:r>
              <w:rPr/>
              <w:t>Equipment and fuel explicitly declared</w:t>
            </w:r>
          </w:p>
        </w:tc>
        <w:tc>
          <w:tcPr>
            <w:tcW w:w="1209" w:type="dxa"/>
            <w:tcBorders/>
            <w:vAlign w:val="center"/>
          </w:tcPr>
          <w:p>
            <w:pPr>
              <w:pStyle w:val="TableContents"/>
              <w:bidi w:val="0"/>
              <w:spacing w:before="0" w:after="140"/>
              <w:rPr/>
            </w:pPr>
            <w:r>
              <w:rPr/>
              <w:t>Attach asset/fuel record</w:t>
            </w:r>
          </w:p>
        </w:tc>
      </w:tr>
      <w:tr>
        <w:trPr/>
        <w:tc>
          <w:tcPr>
            <w:tcW w:w="1506" w:type="dxa"/>
            <w:tcBorders/>
            <w:vAlign w:val="center"/>
          </w:tcPr>
          <w:p>
            <w:pPr>
              <w:pStyle w:val="TableContents"/>
              <w:bidi w:val="0"/>
              <w:spacing w:before="0" w:after="140"/>
              <w:rPr/>
            </w:pPr>
            <w:r>
              <w:rPr/>
              <w:t>Purchased electricity</w:t>
            </w:r>
          </w:p>
        </w:tc>
        <w:tc>
          <w:tcPr>
            <w:tcW w:w="1249" w:type="dxa"/>
            <w:tcBorders/>
            <w:vAlign w:val="center"/>
          </w:tcPr>
          <w:p>
            <w:pPr>
              <w:pStyle w:val="TableContents"/>
              <w:bidi w:val="0"/>
              <w:spacing w:before="0" w:after="140"/>
              <w:rPr/>
            </w:pPr>
            <w:r>
              <w:rPr/>
              <w:t>Confirmed</w:t>
            </w:r>
          </w:p>
        </w:tc>
        <w:tc>
          <w:tcPr>
            <w:tcW w:w="1221" w:type="dxa"/>
            <w:tcBorders/>
            <w:vAlign w:val="center"/>
          </w:tcPr>
          <w:p>
            <w:pPr>
              <w:pStyle w:val="TableContents"/>
              <w:bidi w:val="0"/>
              <w:spacing w:before="0" w:after="140"/>
              <w:rPr/>
            </w:pPr>
            <w:r>
              <w:rPr/>
              <w:t>Powered processing and cooling equipment</w:t>
            </w:r>
          </w:p>
        </w:tc>
        <w:tc>
          <w:tcPr>
            <w:tcW w:w="1209" w:type="dxa"/>
            <w:tcBorders/>
            <w:vAlign w:val="center"/>
          </w:tcPr>
          <w:p>
            <w:pPr>
              <w:pStyle w:val="TableContents"/>
              <w:bidi w:val="0"/>
              <w:spacing w:before="0" w:after="140"/>
              <w:rPr/>
            </w:pPr>
            <w:r>
              <w:rPr/>
              <w:t>Attach utility bill</w:t>
            </w:r>
          </w:p>
        </w:tc>
      </w:tr>
      <w:tr>
        <w:trPr/>
        <w:tc>
          <w:tcPr>
            <w:tcW w:w="1506" w:type="dxa"/>
            <w:tcBorders/>
            <w:vAlign w:val="center"/>
          </w:tcPr>
          <w:p>
            <w:pPr>
              <w:pStyle w:val="TableContents"/>
              <w:bidi w:val="0"/>
              <w:spacing w:before="0" w:after="140"/>
              <w:rPr/>
            </w:pPr>
            <w:r>
              <w:rPr/>
              <w:t>Refrigerant release</w:t>
            </w:r>
          </w:p>
        </w:tc>
        <w:tc>
          <w:tcPr>
            <w:tcW w:w="1249" w:type="dxa"/>
            <w:tcBorders/>
            <w:vAlign w:val="center"/>
          </w:tcPr>
          <w:p>
            <w:pPr>
              <w:pStyle w:val="TableContents"/>
              <w:bidi w:val="0"/>
              <w:spacing w:before="0" w:after="140"/>
              <w:rPr/>
            </w:pPr>
            <w:r>
              <w:rPr/>
              <w:t>Potential</w:t>
            </w:r>
          </w:p>
        </w:tc>
        <w:tc>
          <w:tcPr>
            <w:tcW w:w="1221" w:type="dxa"/>
            <w:tcBorders/>
            <w:vAlign w:val="center"/>
          </w:tcPr>
          <w:p>
            <w:pPr>
              <w:pStyle w:val="TableContents"/>
              <w:bidi w:val="0"/>
              <w:spacing w:before="0" w:after="140"/>
              <w:rPr/>
            </w:pPr>
            <w:r>
              <w:rPr/>
              <w:t>Cold rooms present; refrigerant data missing</w:t>
            </w:r>
          </w:p>
        </w:tc>
        <w:tc>
          <w:tcPr>
            <w:tcW w:w="1209" w:type="dxa"/>
            <w:tcBorders/>
            <w:vAlign w:val="center"/>
          </w:tcPr>
          <w:p>
            <w:pPr>
              <w:pStyle w:val="TableContents"/>
              <w:bidi w:val="0"/>
              <w:spacing w:before="0" w:after="140"/>
              <w:rPr/>
            </w:pPr>
            <w:r>
              <w:rPr/>
              <w:t>Review service log</w:t>
            </w:r>
          </w:p>
        </w:tc>
      </w:tr>
      <w:tr>
        <w:trPr/>
        <w:tc>
          <w:tcPr>
            <w:tcW w:w="1506" w:type="dxa"/>
            <w:tcBorders/>
            <w:vAlign w:val="center"/>
          </w:tcPr>
          <w:p>
            <w:pPr>
              <w:pStyle w:val="TableContents"/>
              <w:bidi w:val="0"/>
              <w:spacing w:before="0" w:after="140"/>
              <w:rPr/>
            </w:pPr>
            <w:r>
              <w:rPr/>
              <w:t>Purchased plastic packaging</w:t>
            </w:r>
          </w:p>
        </w:tc>
        <w:tc>
          <w:tcPr>
            <w:tcW w:w="1249" w:type="dxa"/>
            <w:tcBorders/>
            <w:vAlign w:val="center"/>
          </w:tcPr>
          <w:p>
            <w:pPr>
              <w:pStyle w:val="TableContents"/>
              <w:bidi w:val="0"/>
              <w:spacing w:before="0" w:after="140"/>
              <w:rPr/>
            </w:pPr>
            <w:r>
              <w:rPr/>
              <w:t>Confirmed</w:t>
            </w:r>
          </w:p>
        </w:tc>
        <w:tc>
          <w:tcPr>
            <w:tcW w:w="1221" w:type="dxa"/>
            <w:tcBorders/>
            <w:vAlign w:val="center"/>
          </w:tcPr>
          <w:p>
            <w:pPr>
              <w:pStyle w:val="TableContents"/>
              <w:bidi w:val="0"/>
              <w:spacing w:before="0" w:after="140"/>
              <w:rPr/>
            </w:pPr>
            <w:r>
              <w:rPr/>
              <w:t>Packaging material declared</w:t>
            </w:r>
          </w:p>
        </w:tc>
        <w:tc>
          <w:tcPr>
            <w:tcW w:w="1209" w:type="dxa"/>
            <w:tcBorders/>
            <w:vAlign w:val="center"/>
          </w:tcPr>
          <w:p>
            <w:pPr>
              <w:pStyle w:val="TableContents"/>
              <w:bidi w:val="0"/>
              <w:spacing w:before="0" w:after="140"/>
              <w:rPr/>
            </w:pPr>
            <w:r>
              <w:rPr/>
              <w:t>Attach purchase record</w:t>
            </w:r>
          </w:p>
        </w:tc>
      </w:tr>
      <w:tr>
        <w:trPr/>
        <w:tc>
          <w:tcPr>
            <w:tcW w:w="1506" w:type="dxa"/>
            <w:tcBorders/>
            <w:vAlign w:val="center"/>
          </w:tcPr>
          <w:p>
            <w:pPr>
              <w:pStyle w:val="TableContents"/>
              <w:bidi w:val="0"/>
              <w:spacing w:before="0" w:after="140"/>
              <w:rPr/>
            </w:pPr>
            <w:r>
              <w:rPr/>
              <w:t>Third-party product transport</w:t>
            </w:r>
          </w:p>
        </w:tc>
        <w:tc>
          <w:tcPr>
            <w:tcW w:w="1249" w:type="dxa"/>
            <w:tcBorders/>
            <w:vAlign w:val="center"/>
          </w:tcPr>
          <w:p>
            <w:pPr>
              <w:pStyle w:val="TableContents"/>
              <w:bidi w:val="0"/>
              <w:spacing w:before="0" w:after="140"/>
              <w:rPr/>
            </w:pPr>
            <w:r>
              <w:rPr/>
              <w:t>Outsourced</w:t>
            </w:r>
          </w:p>
        </w:tc>
        <w:tc>
          <w:tcPr>
            <w:tcW w:w="1221" w:type="dxa"/>
            <w:tcBorders/>
            <w:vAlign w:val="center"/>
          </w:tcPr>
          <w:p>
            <w:pPr>
              <w:pStyle w:val="TableContents"/>
              <w:bidi w:val="0"/>
              <w:spacing w:before="0" w:after="140"/>
              <w:rPr/>
            </w:pPr>
            <w:r>
              <w:rPr/>
              <w:t>External carrier declared</w:t>
            </w:r>
          </w:p>
        </w:tc>
        <w:tc>
          <w:tcPr>
            <w:tcW w:w="1209" w:type="dxa"/>
            <w:tcBorders/>
            <w:vAlign w:val="center"/>
          </w:tcPr>
          <w:p>
            <w:pPr>
              <w:pStyle w:val="TableContents"/>
              <w:bidi w:val="0"/>
              <w:spacing w:before="0" w:after="140"/>
              <w:rPr/>
            </w:pPr>
            <w:r>
              <w:rPr/>
              <w:t>Record carrier and route</w:t>
            </w:r>
          </w:p>
        </w:tc>
      </w:tr>
      <w:tr>
        <w:trPr/>
        <w:tc>
          <w:tcPr>
            <w:tcW w:w="1506" w:type="dxa"/>
            <w:tcBorders/>
            <w:vAlign w:val="center"/>
          </w:tcPr>
          <w:p>
            <w:pPr>
              <w:pStyle w:val="TableContents"/>
              <w:bidi w:val="0"/>
              <w:spacing w:before="0" w:after="140"/>
              <w:rPr/>
            </w:pPr>
            <w:r>
              <w:rPr/>
              <w:t>Organic-waste treatment</w:t>
            </w:r>
          </w:p>
        </w:tc>
        <w:tc>
          <w:tcPr>
            <w:tcW w:w="1249" w:type="dxa"/>
            <w:tcBorders/>
            <w:vAlign w:val="center"/>
          </w:tcPr>
          <w:p>
            <w:pPr>
              <w:pStyle w:val="TableContents"/>
              <w:bidi w:val="0"/>
              <w:spacing w:before="0" w:after="140"/>
              <w:rPr/>
            </w:pPr>
            <w:r>
              <w:rPr/>
              <w:t>Outsourced / incomplete</w:t>
            </w:r>
          </w:p>
        </w:tc>
        <w:tc>
          <w:tcPr>
            <w:tcW w:w="1221" w:type="dxa"/>
            <w:tcBorders/>
            <w:vAlign w:val="center"/>
          </w:tcPr>
          <w:p>
            <w:pPr>
              <w:pStyle w:val="TableContents"/>
              <w:bidi w:val="0"/>
              <w:spacing w:before="0" w:after="140"/>
              <w:rPr/>
            </w:pPr>
            <w:r>
              <w:rPr/>
              <w:t>Contractor declared; treatment route unknown</w:t>
            </w:r>
          </w:p>
        </w:tc>
        <w:tc>
          <w:tcPr>
            <w:tcW w:w="1209" w:type="dxa"/>
            <w:tcBorders/>
            <w:vAlign w:val="center"/>
          </w:tcPr>
          <w:p>
            <w:pPr>
              <w:pStyle w:val="TableContents"/>
              <w:bidi w:val="0"/>
              <w:spacing w:before="0" w:after="140"/>
              <w:rPr/>
            </w:pPr>
            <w:r>
              <w:rPr/>
              <w:t>Request disposal receipt</w:t>
            </w:r>
          </w:p>
        </w:tc>
      </w:tr>
      <w:tr>
        <w:trPr/>
        <w:tc>
          <w:tcPr>
            <w:tcW w:w="1506" w:type="dxa"/>
            <w:tcBorders/>
            <w:vAlign w:val="center"/>
          </w:tcPr>
          <w:p>
            <w:pPr>
              <w:pStyle w:val="TableContents"/>
              <w:bidi w:val="0"/>
              <w:spacing w:before="0" w:after="140"/>
              <w:rPr/>
            </w:pPr>
            <w:r>
              <w:rPr/>
              <w:t>Wastewater treatment</w:t>
            </w:r>
          </w:p>
        </w:tc>
        <w:tc>
          <w:tcPr>
            <w:tcW w:w="1249" w:type="dxa"/>
            <w:tcBorders/>
            <w:vAlign w:val="center"/>
          </w:tcPr>
          <w:p>
            <w:pPr>
              <w:pStyle w:val="TableContents"/>
              <w:bidi w:val="0"/>
              <w:spacing w:before="0" w:after="140"/>
              <w:rPr/>
            </w:pPr>
            <w:r>
              <w:rPr/>
              <w:t>Missing information</w:t>
            </w:r>
          </w:p>
        </w:tc>
        <w:tc>
          <w:tcPr>
            <w:tcW w:w="1221" w:type="dxa"/>
            <w:tcBorders/>
            <w:vAlign w:val="center"/>
          </w:tcPr>
          <w:p>
            <w:pPr>
              <w:pStyle w:val="TableContents"/>
              <w:bidi w:val="0"/>
              <w:spacing w:before="0" w:after="140"/>
              <w:rPr/>
            </w:pPr>
            <w:r>
              <w:rPr/>
              <w:t>Cleaning/process water likely; route unreported</w:t>
            </w:r>
          </w:p>
        </w:tc>
        <w:tc>
          <w:tcPr>
            <w:tcW w:w="1209" w:type="dxa"/>
            <w:tcBorders/>
            <w:vAlign w:val="center"/>
          </w:tcPr>
          <w:p>
            <w:pPr>
              <w:pStyle w:val="TableContents"/>
              <w:bidi w:val="0"/>
              <w:spacing w:before="0" w:after="140"/>
              <w:rPr/>
            </w:pPr>
            <w:r>
              <w:rPr/>
              <w:t>Ask onsite/offsite treatment question</w:t>
            </w:r>
          </w:p>
        </w:tc>
      </w:tr>
    </w:tbl>
    <w:p>
      <w:pPr>
        <w:pStyle w:val="Heading1"/>
        <w:bidi w:val="0"/>
        <w:ind w:hanging="0" w:start="0" w:end="0"/>
        <w:rPr/>
      </w:pPr>
      <w:r>
        <w:rPr/>
        <w:t>9. MVP implementation and acceptance criteria</w:t>
      </w:r>
    </w:p>
    <w:p>
      <w:pPr>
        <w:pStyle w:val="Heading2"/>
        <w:bidi w:val="0"/>
        <w:rPr/>
      </w:pPr>
      <w:r>
        <w:rPr/>
        <w:t>9.1 Hackathon build scope</w:t>
      </w:r>
    </w:p>
    <w:tbl>
      <w:tblPr>
        <w:tblW w:w="5185" w:type="dxa"/>
        <w:jc w:val="start"/>
        <w:tblInd w:w="0" w:type="dxa"/>
        <w:tblLayout w:type="fixed"/>
        <w:tblCellMar>
          <w:top w:w="28" w:type="dxa"/>
          <w:start w:w="28" w:type="dxa"/>
          <w:bottom w:w="28" w:type="dxa"/>
          <w:end w:w="28" w:type="dxa"/>
        </w:tblCellMar>
      </w:tblPr>
      <w:tblGrid>
        <w:gridCol w:w="919"/>
        <w:gridCol w:w="4266"/>
      </w:tblGrid>
      <w:tr>
        <w:trPr/>
        <w:tc>
          <w:tcPr>
            <w:tcW w:w="919" w:type="dxa"/>
            <w:tcBorders/>
            <w:vAlign w:val="center"/>
          </w:tcPr>
          <w:p>
            <w:pPr>
              <w:pStyle w:val="TableHeading"/>
              <w:suppressLineNumbers/>
              <w:shd w:fill="176B4D" w:val="clear"/>
              <w:bidi w:val="0"/>
              <w:spacing w:before="0" w:after="140"/>
              <w:jc w:val="start"/>
              <w:rPr/>
            </w:pPr>
            <w:r>
              <w:rPr/>
              <w:t>Priority</w:t>
            </w:r>
          </w:p>
        </w:tc>
        <w:tc>
          <w:tcPr>
            <w:tcW w:w="4266" w:type="dxa"/>
            <w:tcBorders/>
            <w:vAlign w:val="center"/>
          </w:tcPr>
          <w:p>
            <w:pPr>
              <w:pStyle w:val="TableHeading"/>
              <w:suppressLineNumbers/>
              <w:shd w:fill="176B4D" w:val="clear"/>
              <w:bidi w:val="0"/>
              <w:spacing w:before="0" w:after="140"/>
              <w:jc w:val="start"/>
              <w:rPr/>
            </w:pPr>
            <w:r>
              <w:rPr/>
              <w:t>Capability</w:t>
            </w:r>
          </w:p>
        </w:tc>
      </w:tr>
      <w:tr>
        <w:trPr/>
        <w:tc>
          <w:tcPr>
            <w:tcW w:w="919" w:type="dxa"/>
            <w:tcBorders/>
            <w:vAlign w:val="center"/>
          </w:tcPr>
          <w:p>
            <w:pPr>
              <w:pStyle w:val="TableContents"/>
              <w:bidi w:val="0"/>
              <w:spacing w:before="0" w:after="140"/>
              <w:rPr/>
            </w:pPr>
            <w:r>
              <w:rPr/>
              <w:t>P0</w:t>
            </w:r>
          </w:p>
        </w:tc>
        <w:tc>
          <w:tcPr>
            <w:tcW w:w="4266" w:type="dxa"/>
            <w:tcBorders/>
            <w:vAlign w:val="center"/>
          </w:tcPr>
          <w:p>
            <w:pPr>
              <w:pStyle w:val="TableContents"/>
              <w:bidi w:val="0"/>
              <w:spacing w:before="0" w:after="140"/>
              <w:rPr/>
            </w:pPr>
            <w:r>
              <w:rPr/>
              <w:t>Facility boundary, industry/product selection, food-processing template, editable process flow, equipment/input/output forms, rules, universal checklist, verification statuses and inventory report</w:t>
            </w:r>
          </w:p>
        </w:tc>
      </w:tr>
      <w:tr>
        <w:trPr/>
        <w:tc>
          <w:tcPr>
            <w:tcW w:w="919" w:type="dxa"/>
            <w:tcBorders/>
            <w:vAlign w:val="center"/>
          </w:tcPr>
          <w:p>
            <w:pPr>
              <w:pStyle w:val="TableContents"/>
              <w:bidi w:val="0"/>
              <w:spacing w:before="0" w:after="140"/>
              <w:rPr/>
            </w:pPr>
            <w:r>
              <w:rPr/>
              <w:t>P0</w:t>
            </w:r>
          </w:p>
        </w:tc>
        <w:tc>
          <w:tcPr>
            <w:tcW w:w="4266" w:type="dxa"/>
            <w:tcBorders/>
            <w:vAlign w:val="center"/>
          </w:tcPr>
          <w:p>
            <w:pPr>
              <w:pStyle w:val="TableContents"/>
              <w:bidi w:val="0"/>
              <w:spacing w:before="0" w:after="140"/>
              <w:rPr/>
            </w:pPr>
            <w:r>
              <w:rPr/>
              <w:t>ML-assisted extraction from a short free-text process description, candidate ranking and one missing-source alert with an explanation</w:t>
            </w:r>
          </w:p>
        </w:tc>
      </w:tr>
      <w:tr>
        <w:trPr/>
        <w:tc>
          <w:tcPr>
            <w:tcW w:w="919" w:type="dxa"/>
            <w:tcBorders/>
            <w:vAlign w:val="center"/>
          </w:tcPr>
          <w:p>
            <w:pPr>
              <w:pStyle w:val="TableContents"/>
              <w:bidi w:val="0"/>
              <w:spacing w:before="0" w:after="140"/>
              <w:rPr/>
            </w:pPr>
            <w:r>
              <w:rPr/>
              <w:t>P1</w:t>
            </w:r>
          </w:p>
        </w:tc>
        <w:tc>
          <w:tcPr>
            <w:tcW w:w="4266" w:type="dxa"/>
            <w:tcBorders/>
            <w:vAlign w:val="center"/>
          </w:tcPr>
          <w:p>
            <w:pPr>
              <w:pStyle w:val="TableContents"/>
              <w:bidi w:val="0"/>
              <w:spacing w:before="0" w:after="140"/>
              <w:rPr/>
            </w:pPr>
            <w:r>
              <w:rPr/>
              <w:t>Textile preset, evidence attachment metadata, assessment version history and downloadable source register</w:t>
            </w:r>
          </w:p>
        </w:tc>
      </w:tr>
      <w:tr>
        <w:trPr/>
        <w:tc>
          <w:tcPr>
            <w:tcW w:w="919" w:type="dxa"/>
            <w:tcBorders/>
            <w:vAlign w:val="center"/>
          </w:tcPr>
          <w:p>
            <w:pPr>
              <w:pStyle w:val="TableContents"/>
              <w:bidi w:val="0"/>
              <w:spacing w:before="0" w:after="140"/>
              <w:rPr/>
            </w:pPr>
            <w:r>
              <w:rPr/>
              <w:t>Deferred</w:t>
            </w:r>
          </w:p>
        </w:tc>
        <w:tc>
          <w:tcPr>
            <w:tcW w:w="4266" w:type="dxa"/>
            <w:tcBorders/>
            <w:vAlign w:val="center"/>
          </w:tcPr>
          <w:p>
            <w:pPr>
              <w:pStyle w:val="TableContents"/>
              <w:bidi w:val="0"/>
              <w:spacing w:before="0" w:after="140"/>
              <w:rPr/>
            </w:pPr>
            <w:r>
              <w:rPr/>
              <w:t>Custom model training, document OCR at scale, ERP/IoT integration, numerical calculation and recommendations</w:t>
            </w:r>
          </w:p>
        </w:tc>
      </w:tr>
    </w:tbl>
    <w:p>
      <w:pPr>
        <w:pStyle w:val="Heading2"/>
        <w:bidi w:val="0"/>
        <w:rPr/>
      </w:pPr>
      <w:r>
        <w:rPr/>
        <w:t>9.2 Suggested build sequence</w:t>
      </w:r>
    </w:p>
    <w:p>
      <w:pPr>
        <w:pStyle w:val="BodyText"/>
        <w:numPr>
          <w:ilvl w:val="0"/>
          <w:numId w:val="13"/>
        </w:numPr>
        <w:tabs>
          <w:tab w:val="clear" w:pos="1134"/>
          <w:tab w:val="left" w:pos="709" w:leader="none"/>
        </w:tabs>
        <w:bidi w:val="0"/>
        <w:spacing w:before="0" w:after="0"/>
        <w:ind w:hanging="283" w:start="709"/>
        <w:rPr/>
      </w:pPr>
      <w:r>
        <w:rPr/>
        <w:t xml:space="preserve">Define controlled source taxonomy and record schema. </w:t>
      </w:r>
    </w:p>
    <w:p>
      <w:pPr>
        <w:pStyle w:val="BodyText"/>
        <w:numPr>
          <w:ilvl w:val="0"/>
          <w:numId w:val="13"/>
        </w:numPr>
        <w:tabs>
          <w:tab w:val="clear" w:pos="1134"/>
          <w:tab w:val="left" w:pos="709" w:leader="none"/>
        </w:tabs>
        <w:bidi w:val="0"/>
        <w:spacing w:before="0" w:after="0"/>
        <w:ind w:hanging="283" w:start="709"/>
        <w:rPr/>
      </w:pPr>
      <w:r>
        <w:rPr/>
        <w:t xml:space="preserve">Create food-processing process/equipment/source knowledge records. </w:t>
      </w:r>
    </w:p>
    <w:p>
      <w:pPr>
        <w:pStyle w:val="BodyText"/>
        <w:numPr>
          <w:ilvl w:val="0"/>
          <w:numId w:val="13"/>
        </w:numPr>
        <w:tabs>
          <w:tab w:val="clear" w:pos="1134"/>
          <w:tab w:val="left" w:pos="709" w:leader="none"/>
        </w:tabs>
        <w:bidi w:val="0"/>
        <w:spacing w:before="0" w:after="0"/>
        <w:ind w:hanging="283" w:start="709"/>
        <w:rPr/>
      </w:pPr>
      <w:r>
        <w:rPr/>
        <w:t xml:space="preserve">Implement facility, industry, product and process intake. </w:t>
      </w:r>
    </w:p>
    <w:p>
      <w:pPr>
        <w:pStyle w:val="BodyText"/>
        <w:numPr>
          <w:ilvl w:val="0"/>
          <w:numId w:val="13"/>
        </w:numPr>
        <w:tabs>
          <w:tab w:val="clear" w:pos="1134"/>
          <w:tab w:val="left" w:pos="709" w:leader="none"/>
        </w:tabs>
        <w:bidi w:val="0"/>
        <w:spacing w:before="0" w:after="0"/>
        <w:ind w:hanging="283" w:start="709"/>
        <w:rPr/>
      </w:pPr>
      <w:r>
        <w:rPr/>
        <w:t xml:space="preserve">Implement explainable deterministic rules. </w:t>
      </w:r>
    </w:p>
    <w:p>
      <w:pPr>
        <w:pStyle w:val="BodyText"/>
        <w:numPr>
          <w:ilvl w:val="0"/>
          <w:numId w:val="13"/>
        </w:numPr>
        <w:tabs>
          <w:tab w:val="clear" w:pos="1134"/>
          <w:tab w:val="left" w:pos="709" w:leader="none"/>
        </w:tabs>
        <w:bidi w:val="0"/>
        <w:spacing w:before="0" w:after="0"/>
        <w:ind w:hanging="283" w:start="709"/>
        <w:rPr/>
      </w:pPr>
      <w:r>
        <w:rPr/>
        <w:t xml:space="preserve">Add the universal checklist and status workflow. </w:t>
      </w:r>
    </w:p>
    <w:p>
      <w:pPr>
        <w:pStyle w:val="BodyText"/>
        <w:numPr>
          <w:ilvl w:val="0"/>
          <w:numId w:val="13"/>
        </w:numPr>
        <w:tabs>
          <w:tab w:val="clear" w:pos="1134"/>
          <w:tab w:val="left" w:pos="709" w:leader="none"/>
        </w:tabs>
        <w:bidi w:val="0"/>
        <w:spacing w:before="0" w:after="0"/>
        <w:ind w:hanging="283" w:start="709"/>
        <w:rPr/>
      </w:pPr>
      <w:r>
        <w:rPr/>
        <w:t xml:space="preserve">Add ML extraction, semantic matching and missing-source suggestions. </w:t>
      </w:r>
    </w:p>
    <w:p>
      <w:pPr>
        <w:pStyle w:val="BodyText"/>
        <w:numPr>
          <w:ilvl w:val="0"/>
          <w:numId w:val="13"/>
        </w:numPr>
        <w:tabs>
          <w:tab w:val="clear" w:pos="1134"/>
          <w:tab w:val="left" w:pos="709" w:leader="none"/>
        </w:tabs>
        <w:bidi w:val="0"/>
        <w:spacing w:before="0" w:after="0"/>
        <w:ind w:hanging="283" w:start="709"/>
        <w:rPr/>
      </w:pPr>
      <w:r>
        <w:rPr/>
        <w:t xml:space="preserve">Add evidence references, confidence explanations and completeness indicators. </w:t>
      </w:r>
    </w:p>
    <w:p>
      <w:pPr>
        <w:pStyle w:val="BodyText"/>
        <w:numPr>
          <w:ilvl w:val="0"/>
          <w:numId w:val="13"/>
        </w:numPr>
        <w:tabs>
          <w:tab w:val="clear" w:pos="1134"/>
          <w:tab w:val="left" w:pos="709" w:leader="none"/>
        </w:tabs>
        <w:bidi w:val="0"/>
        <w:ind w:hanging="283" w:start="709"/>
        <w:rPr/>
      </w:pPr>
      <w:r>
        <w:rPr/>
        <w:t xml:space="preserve">Generate the final versioned inventory and test against a seeded facility. </w:t>
      </w:r>
    </w:p>
    <w:p>
      <w:pPr>
        <w:pStyle w:val="Heading2"/>
        <w:bidi w:val="0"/>
        <w:rPr/>
      </w:pPr>
      <w:r>
        <w:rPr/>
        <w:t>9.3 Accuracy and quality metrics</w:t>
      </w:r>
    </w:p>
    <w:tbl>
      <w:tblPr>
        <w:tblW w:w="5185" w:type="dxa"/>
        <w:jc w:val="start"/>
        <w:tblInd w:w="0" w:type="dxa"/>
        <w:tblLayout w:type="fixed"/>
        <w:tblCellMar>
          <w:top w:w="28" w:type="dxa"/>
          <w:start w:w="28" w:type="dxa"/>
          <w:bottom w:w="28" w:type="dxa"/>
          <w:end w:w="28" w:type="dxa"/>
        </w:tblCellMar>
      </w:tblPr>
      <w:tblGrid>
        <w:gridCol w:w="1284"/>
        <w:gridCol w:w="2135"/>
        <w:gridCol w:w="1766"/>
      </w:tblGrid>
      <w:tr>
        <w:trPr/>
        <w:tc>
          <w:tcPr>
            <w:tcW w:w="1284" w:type="dxa"/>
            <w:tcBorders/>
            <w:vAlign w:val="center"/>
          </w:tcPr>
          <w:p>
            <w:pPr>
              <w:pStyle w:val="TableHeading"/>
              <w:suppressLineNumbers/>
              <w:shd w:fill="176B4D" w:val="clear"/>
              <w:bidi w:val="0"/>
              <w:spacing w:before="0" w:after="140"/>
              <w:jc w:val="start"/>
              <w:rPr/>
            </w:pPr>
            <w:r>
              <w:rPr/>
              <w:t>Metric</w:t>
            </w:r>
          </w:p>
        </w:tc>
        <w:tc>
          <w:tcPr>
            <w:tcW w:w="2135" w:type="dxa"/>
            <w:tcBorders/>
            <w:vAlign w:val="center"/>
          </w:tcPr>
          <w:p>
            <w:pPr>
              <w:pStyle w:val="TableHeading"/>
              <w:suppressLineNumbers/>
              <w:shd w:fill="176B4D" w:val="clear"/>
              <w:bidi w:val="0"/>
              <w:spacing w:before="0" w:after="140"/>
              <w:jc w:val="start"/>
              <w:rPr/>
            </w:pPr>
            <w:r>
              <w:rPr/>
              <w:t>Definition</w:t>
            </w:r>
          </w:p>
        </w:tc>
        <w:tc>
          <w:tcPr>
            <w:tcW w:w="1766" w:type="dxa"/>
            <w:tcBorders/>
            <w:vAlign w:val="center"/>
          </w:tcPr>
          <w:p>
            <w:pPr>
              <w:pStyle w:val="TableHeading"/>
              <w:suppressLineNumbers/>
              <w:shd w:fill="176B4D" w:val="clear"/>
              <w:bidi w:val="0"/>
              <w:spacing w:before="0" w:after="140"/>
              <w:jc w:val="start"/>
              <w:rPr/>
            </w:pPr>
            <w:r>
              <w:rPr/>
              <w:t>MVP target</w:t>
            </w:r>
          </w:p>
        </w:tc>
      </w:tr>
      <w:tr>
        <w:trPr/>
        <w:tc>
          <w:tcPr>
            <w:tcW w:w="1284" w:type="dxa"/>
            <w:tcBorders/>
            <w:vAlign w:val="center"/>
          </w:tcPr>
          <w:p>
            <w:pPr>
              <w:pStyle w:val="TableContents"/>
              <w:bidi w:val="0"/>
              <w:spacing w:before="0" w:after="140"/>
              <w:rPr/>
            </w:pPr>
            <w:r>
              <w:rPr/>
              <w:t>Source recall</w:t>
            </w:r>
          </w:p>
        </w:tc>
        <w:tc>
          <w:tcPr>
            <w:tcW w:w="2135" w:type="dxa"/>
            <w:tcBorders/>
            <w:vAlign w:val="center"/>
          </w:tcPr>
          <w:p>
            <w:pPr>
              <w:pStyle w:val="TableContents"/>
              <w:bidi w:val="0"/>
              <w:spacing w:before="0" w:after="140"/>
              <w:rPr/>
            </w:pPr>
            <w:r>
              <w:rPr/>
              <w:t>Verified sources identified / all expert-reviewed sources</w:t>
            </w:r>
          </w:p>
        </w:tc>
        <w:tc>
          <w:tcPr>
            <w:tcW w:w="1766" w:type="dxa"/>
            <w:tcBorders/>
            <w:vAlign w:val="center"/>
          </w:tcPr>
          <w:p>
            <w:pPr>
              <w:pStyle w:val="TableContents"/>
              <w:bidi w:val="0"/>
              <w:spacing w:before="0" w:after="140"/>
              <w:rPr/>
            </w:pPr>
            <w:r>
              <w:rPr/>
              <w:t>Prioritize high recall; no critical source missed in demo cases</w:t>
            </w:r>
          </w:p>
        </w:tc>
      </w:tr>
      <w:tr>
        <w:trPr/>
        <w:tc>
          <w:tcPr>
            <w:tcW w:w="1284" w:type="dxa"/>
            <w:tcBorders/>
            <w:vAlign w:val="center"/>
          </w:tcPr>
          <w:p>
            <w:pPr>
              <w:pStyle w:val="TableContents"/>
              <w:bidi w:val="0"/>
              <w:spacing w:before="0" w:after="140"/>
              <w:rPr/>
            </w:pPr>
            <w:r>
              <w:rPr/>
              <w:t>Precision</w:t>
            </w:r>
          </w:p>
        </w:tc>
        <w:tc>
          <w:tcPr>
            <w:tcW w:w="2135" w:type="dxa"/>
            <w:tcBorders/>
            <w:vAlign w:val="center"/>
          </w:tcPr>
          <w:p>
            <w:pPr>
              <w:pStyle w:val="TableContents"/>
              <w:bidi w:val="0"/>
              <w:spacing w:before="0" w:after="140"/>
              <w:rPr/>
            </w:pPr>
            <w:r>
              <w:rPr/>
              <w:t>Correct candidates / all candidates suggested</w:t>
            </w:r>
          </w:p>
        </w:tc>
        <w:tc>
          <w:tcPr>
            <w:tcW w:w="1766" w:type="dxa"/>
            <w:tcBorders/>
            <w:vAlign w:val="center"/>
          </w:tcPr>
          <w:p>
            <w:pPr>
              <w:pStyle w:val="TableContents"/>
              <w:bidi w:val="0"/>
              <w:spacing w:before="0" w:after="140"/>
              <w:rPr/>
            </w:pPr>
            <w:r>
              <w:rPr/>
              <w:t>Potential false positives remain clearly unconfirmed</w:t>
            </w:r>
          </w:p>
        </w:tc>
      </w:tr>
      <w:tr>
        <w:trPr/>
        <w:tc>
          <w:tcPr>
            <w:tcW w:w="1284" w:type="dxa"/>
            <w:tcBorders/>
            <w:vAlign w:val="center"/>
          </w:tcPr>
          <w:p>
            <w:pPr>
              <w:pStyle w:val="TableContents"/>
              <w:bidi w:val="0"/>
              <w:spacing w:before="0" w:after="140"/>
              <w:rPr/>
            </w:pPr>
            <w:r>
              <w:rPr/>
              <w:t>Checklist coverage</w:t>
            </w:r>
          </w:p>
        </w:tc>
        <w:tc>
          <w:tcPr>
            <w:tcW w:w="2135" w:type="dxa"/>
            <w:tcBorders/>
            <w:vAlign w:val="center"/>
          </w:tcPr>
          <w:p>
            <w:pPr>
              <w:pStyle w:val="TableContents"/>
              <w:bidi w:val="0"/>
              <w:spacing w:before="0" w:after="140"/>
              <w:rPr/>
            </w:pPr>
            <w:r>
              <w:rPr/>
              <w:t>Source families receiving an explicit status / total required families</w:t>
            </w:r>
          </w:p>
        </w:tc>
        <w:tc>
          <w:tcPr>
            <w:tcW w:w="1766" w:type="dxa"/>
            <w:tcBorders/>
            <w:vAlign w:val="center"/>
          </w:tcPr>
          <w:p>
            <w:pPr>
              <w:pStyle w:val="TableContents"/>
              <w:bidi w:val="0"/>
              <w:spacing w:before="0" w:after="140"/>
              <w:rPr/>
            </w:pPr>
            <w:r>
              <w:rPr/>
              <w:t>100%</w:t>
            </w:r>
          </w:p>
        </w:tc>
      </w:tr>
      <w:tr>
        <w:trPr/>
        <w:tc>
          <w:tcPr>
            <w:tcW w:w="1284" w:type="dxa"/>
            <w:tcBorders/>
            <w:vAlign w:val="center"/>
          </w:tcPr>
          <w:p>
            <w:pPr>
              <w:pStyle w:val="TableContents"/>
              <w:bidi w:val="0"/>
              <w:spacing w:before="0" w:after="140"/>
              <w:rPr/>
            </w:pPr>
            <w:r>
              <w:rPr/>
              <w:t>Traceability</w:t>
            </w:r>
          </w:p>
        </w:tc>
        <w:tc>
          <w:tcPr>
            <w:tcW w:w="2135" w:type="dxa"/>
            <w:tcBorders/>
            <w:vAlign w:val="center"/>
          </w:tcPr>
          <w:p>
            <w:pPr>
              <w:pStyle w:val="TableContents"/>
              <w:bidi w:val="0"/>
              <w:spacing w:before="0" w:after="140"/>
              <w:rPr/>
            </w:pPr>
            <w:r>
              <w:rPr/>
              <w:t>Inventory records with rationale and provenance</w:t>
            </w:r>
          </w:p>
        </w:tc>
        <w:tc>
          <w:tcPr>
            <w:tcW w:w="1766" w:type="dxa"/>
            <w:tcBorders/>
            <w:vAlign w:val="center"/>
          </w:tcPr>
          <w:p>
            <w:pPr>
              <w:pStyle w:val="TableContents"/>
              <w:bidi w:val="0"/>
              <w:spacing w:before="0" w:after="140"/>
              <w:rPr/>
            </w:pPr>
            <w:r>
              <w:rPr/>
              <w:t>100%</w:t>
            </w:r>
          </w:p>
        </w:tc>
      </w:tr>
      <w:tr>
        <w:trPr/>
        <w:tc>
          <w:tcPr>
            <w:tcW w:w="1284" w:type="dxa"/>
            <w:tcBorders/>
            <w:vAlign w:val="center"/>
          </w:tcPr>
          <w:p>
            <w:pPr>
              <w:pStyle w:val="TableContents"/>
              <w:bidi w:val="0"/>
              <w:spacing w:before="0" w:after="140"/>
              <w:rPr/>
            </w:pPr>
            <w:r>
              <w:rPr/>
              <w:t>Verification readiness</w:t>
            </w:r>
          </w:p>
        </w:tc>
        <w:tc>
          <w:tcPr>
            <w:tcW w:w="2135" w:type="dxa"/>
            <w:tcBorders/>
            <w:vAlign w:val="center"/>
          </w:tcPr>
          <w:p>
            <w:pPr>
              <w:pStyle w:val="TableContents"/>
              <w:bidi w:val="0"/>
              <w:spacing w:before="0" w:after="140"/>
              <w:rPr/>
            </w:pPr>
            <w:r>
              <w:rPr/>
              <w:t>Potential/missing records with a clear next question or evidence request</w:t>
            </w:r>
          </w:p>
        </w:tc>
        <w:tc>
          <w:tcPr>
            <w:tcW w:w="1766" w:type="dxa"/>
            <w:tcBorders/>
            <w:vAlign w:val="center"/>
          </w:tcPr>
          <w:p>
            <w:pPr>
              <w:pStyle w:val="TableContents"/>
              <w:bidi w:val="0"/>
              <w:spacing w:before="0" w:after="140"/>
              <w:rPr/>
            </w:pPr>
            <w:r>
              <w:rPr/>
              <w:t>100%</w:t>
            </w:r>
          </w:p>
        </w:tc>
      </w:tr>
      <w:tr>
        <w:trPr/>
        <w:tc>
          <w:tcPr>
            <w:tcW w:w="1284" w:type="dxa"/>
            <w:tcBorders/>
            <w:vAlign w:val="center"/>
          </w:tcPr>
          <w:p>
            <w:pPr>
              <w:pStyle w:val="TableContents"/>
              <w:bidi w:val="0"/>
              <w:spacing w:before="0" w:after="140"/>
              <w:rPr/>
            </w:pPr>
            <w:r>
              <w:rPr/>
              <w:t>Fallback reliability</w:t>
            </w:r>
          </w:p>
        </w:tc>
        <w:tc>
          <w:tcPr>
            <w:tcW w:w="2135" w:type="dxa"/>
            <w:tcBorders/>
            <w:vAlign w:val="center"/>
          </w:tcPr>
          <w:p>
            <w:pPr>
              <w:pStyle w:val="TableContents"/>
              <w:bidi w:val="0"/>
              <w:spacing w:before="0" w:after="140"/>
              <w:rPr/>
            </w:pPr>
            <w:r>
              <w:rPr/>
              <w:t>Assessments completable when ML is unavailable</w:t>
            </w:r>
          </w:p>
        </w:tc>
        <w:tc>
          <w:tcPr>
            <w:tcW w:w="1766" w:type="dxa"/>
            <w:tcBorders/>
            <w:vAlign w:val="center"/>
          </w:tcPr>
          <w:p>
            <w:pPr>
              <w:pStyle w:val="TableContents"/>
              <w:bidi w:val="0"/>
              <w:spacing w:before="0" w:after="140"/>
              <w:rPr/>
            </w:pPr>
            <w:r>
              <w:rPr/>
              <w:t>Primary flow remains functional</w:t>
            </w:r>
          </w:p>
        </w:tc>
      </w:tr>
    </w:tbl>
    <w:p>
      <w:pPr>
        <w:pStyle w:val="Heading2"/>
        <w:bidi w:val="0"/>
        <w:rPr/>
      </w:pPr>
      <w:r>
        <w:rPr/>
        <w:t>9.4 Definition of done</w:t>
      </w:r>
    </w:p>
    <w:p>
      <w:pPr>
        <w:pStyle w:val="BodyText"/>
        <w:numPr>
          <w:ilvl w:val="0"/>
          <w:numId w:val="14"/>
        </w:numPr>
        <w:tabs>
          <w:tab w:val="clear" w:pos="1134"/>
          <w:tab w:val="left" w:pos="709" w:leader="none"/>
        </w:tabs>
        <w:bidi w:val="0"/>
        <w:spacing w:before="0" w:after="0"/>
        <w:ind w:hanging="283" w:start="709"/>
        <w:rPr/>
      </w:pPr>
      <w:r>
        <w:rPr/>
        <w:t xml:space="preserve">☐ </w:t>
      </w:r>
      <w:r>
        <w:rPr/>
        <w:t xml:space="preserve">A user selects an industry and product and receives a relevant process template. </w:t>
      </w:r>
    </w:p>
    <w:p>
      <w:pPr>
        <w:pStyle w:val="BodyText"/>
        <w:numPr>
          <w:ilvl w:val="0"/>
          <w:numId w:val="14"/>
        </w:numPr>
        <w:tabs>
          <w:tab w:val="clear" w:pos="1134"/>
          <w:tab w:val="left" w:pos="709" w:leader="none"/>
        </w:tabs>
        <w:bidi w:val="0"/>
        <w:spacing w:before="0" w:after="0"/>
        <w:ind w:hanging="283" w:start="709"/>
        <w:rPr/>
      </w:pPr>
      <w:r>
        <w:rPr/>
        <w:t xml:space="preserve">☐ </w:t>
      </w:r>
      <w:r>
        <w:rPr/>
        <w:t xml:space="preserve">The user can correct the template and add custom processes/equipment. </w:t>
      </w:r>
    </w:p>
    <w:p>
      <w:pPr>
        <w:pStyle w:val="BodyText"/>
        <w:numPr>
          <w:ilvl w:val="0"/>
          <w:numId w:val="14"/>
        </w:numPr>
        <w:tabs>
          <w:tab w:val="clear" w:pos="1134"/>
          <w:tab w:val="left" w:pos="709" w:leader="none"/>
        </w:tabs>
        <w:bidi w:val="0"/>
        <w:spacing w:before="0" w:after="0"/>
        <w:ind w:hanging="283" w:start="709"/>
        <w:rPr/>
      </w:pPr>
      <w:r>
        <w:rPr/>
        <w:t xml:space="preserve">☐ </w:t>
      </w:r>
      <w:r>
        <w:rPr/>
        <w:t xml:space="preserve">Explicit operational facts trigger explainable deterministic source candidates. </w:t>
      </w:r>
    </w:p>
    <w:p>
      <w:pPr>
        <w:pStyle w:val="BodyText"/>
        <w:numPr>
          <w:ilvl w:val="0"/>
          <w:numId w:val="14"/>
        </w:numPr>
        <w:tabs>
          <w:tab w:val="clear" w:pos="1134"/>
          <w:tab w:val="left" w:pos="709" w:leader="none"/>
        </w:tabs>
        <w:bidi w:val="0"/>
        <w:spacing w:before="0" w:after="0"/>
        <w:ind w:hanging="283" w:start="709"/>
        <w:rPr/>
      </w:pPr>
      <w:r>
        <w:rPr/>
        <w:t xml:space="preserve">☐ </w:t>
      </w:r>
      <w:r>
        <w:rPr/>
        <w:t xml:space="preserve">ML extracts facts from free text and identifies at least one meaningful omission. </w:t>
      </w:r>
    </w:p>
    <w:p>
      <w:pPr>
        <w:pStyle w:val="BodyText"/>
        <w:numPr>
          <w:ilvl w:val="0"/>
          <w:numId w:val="14"/>
        </w:numPr>
        <w:tabs>
          <w:tab w:val="clear" w:pos="1134"/>
          <w:tab w:val="left" w:pos="709" w:leader="none"/>
        </w:tabs>
        <w:bidi w:val="0"/>
        <w:spacing w:before="0" w:after="0"/>
        <w:ind w:hanging="283" w:start="709"/>
        <w:rPr/>
      </w:pPr>
      <w:r>
        <w:rPr/>
        <w:t xml:space="preserve">☐ </w:t>
      </w:r>
      <w:r>
        <w:rPr/>
        <w:t xml:space="preserve">Every universal source family receives an explicit status. </w:t>
      </w:r>
    </w:p>
    <w:p>
      <w:pPr>
        <w:pStyle w:val="BodyText"/>
        <w:numPr>
          <w:ilvl w:val="0"/>
          <w:numId w:val="14"/>
        </w:numPr>
        <w:tabs>
          <w:tab w:val="clear" w:pos="1134"/>
          <w:tab w:val="left" w:pos="709" w:leader="none"/>
        </w:tabs>
        <w:bidi w:val="0"/>
        <w:spacing w:before="0" w:after="0"/>
        <w:ind w:hanging="283" w:start="709"/>
        <w:rPr/>
      </w:pPr>
      <w:r>
        <w:rPr/>
        <w:t xml:space="preserve">☐ </w:t>
      </w:r>
      <w:r>
        <w:rPr/>
        <w:t xml:space="preserve">No source becomes confirmed solely because of industry or ML inference. </w:t>
      </w:r>
    </w:p>
    <w:p>
      <w:pPr>
        <w:pStyle w:val="BodyText"/>
        <w:numPr>
          <w:ilvl w:val="0"/>
          <w:numId w:val="14"/>
        </w:numPr>
        <w:tabs>
          <w:tab w:val="clear" w:pos="1134"/>
          <w:tab w:val="left" w:pos="709" w:leader="none"/>
        </w:tabs>
        <w:bidi w:val="0"/>
        <w:spacing w:before="0" w:after="0"/>
        <w:ind w:hanging="283" w:start="709"/>
        <w:rPr/>
      </w:pPr>
      <w:r>
        <w:rPr/>
        <w:t xml:space="preserve">☐ </w:t>
      </w:r>
      <w:r>
        <w:rPr/>
        <w:t xml:space="preserve">Missing information is visible and never treated as zero. </w:t>
      </w:r>
    </w:p>
    <w:p>
      <w:pPr>
        <w:pStyle w:val="BodyText"/>
        <w:numPr>
          <w:ilvl w:val="0"/>
          <w:numId w:val="14"/>
        </w:numPr>
        <w:tabs>
          <w:tab w:val="clear" w:pos="1134"/>
          <w:tab w:val="left" w:pos="709" w:leader="none"/>
        </w:tabs>
        <w:bidi w:val="0"/>
        <w:spacing w:before="0" w:after="0"/>
        <w:ind w:hanging="283" w:start="709"/>
        <w:rPr/>
      </w:pPr>
      <w:r>
        <w:rPr/>
        <w:t xml:space="preserve">☐ </w:t>
      </w:r>
      <w:r>
        <w:rPr/>
        <w:t xml:space="preserve">Scope classification records the ownership/control rationale. </w:t>
      </w:r>
    </w:p>
    <w:p>
      <w:pPr>
        <w:pStyle w:val="BodyText"/>
        <w:numPr>
          <w:ilvl w:val="0"/>
          <w:numId w:val="14"/>
        </w:numPr>
        <w:tabs>
          <w:tab w:val="clear" w:pos="1134"/>
          <w:tab w:val="left" w:pos="709" w:leader="none"/>
        </w:tabs>
        <w:bidi w:val="0"/>
        <w:spacing w:before="0" w:after="0"/>
        <w:ind w:hanging="283" w:start="709"/>
        <w:rPr/>
      </w:pPr>
      <w:r>
        <w:rPr/>
        <w:t xml:space="preserve">☐ </w:t>
      </w:r>
      <w:r>
        <w:rPr/>
        <w:t xml:space="preserve">The final source inventory shows status, evidence, provenance and required future activity data. </w:t>
      </w:r>
    </w:p>
    <w:p>
      <w:pPr>
        <w:pStyle w:val="BodyText"/>
        <w:numPr>
          <w:ilvl w:val="0"/>
          <w:numId w:val="14"/>
        </w:numPr>
        <w:tabs>
          <w:tab w:val="clear" w:pos="1134"/>
          <w:tab w:val="left" w:pos="709" w:leader="none"/>
        </w:tabs>
        <w:bidi w:val="0"/>
        <w:ind w:hanging="283" w:start="709"/>
        <w:rPr/>
      </w:pPr>
      <w:r>
        <w:rPr/>
        <w:t xml:space="preserve">☐ </w:t>
      </w:r>
      <w:r>
        <w:rPr/>
        <w:t xml:space="preserve">The entire workflow works without numerical emissions or recommendations. </w:t>
      </w:r>
    </w:p>
    <w:p>
      <w:pPr>
        <w:pStyle w:val="Heading1"/>
        <w:bidi w:val="0"/>
        <w:ind w:hanging="0" w:start="0" w:end="0"/>
        <w:rPr/>
      </w:pPr>
      <w:r>
        <w:rPr/>
        <w:t>10. Data model, governance and future readiness</w:t>
      </w:r>
    </w:p>
    <w:p>
      <w:pPr>
        <w:pStyle w:val="Heading2"/>
        <w:bidi w:val="0"/>
        <w:rPr/>
      </w:pPr>
      <w:r>
        <w:rPr/>
        <w:t>10.1 Minimum entities</w:t>
      </w:r>
    </w:p>
    <w:tbl>
      <w:tblPr>
        <w:tblW w:w="5185" w:type="dxa"/>
        <w:jc w:val="start"/>
        <w:tblInd w:w="0" w:type="dxa"/>
        <w:tblLayout w:type="fixed"/>
        <w:tblCellMar>
          <w:top w:w="28" w:type="dxa"/>
          <w:start w:w="28" w:type="dxa"/>
          <w:bottom w:w="28" w:type="dxa"/>
          <w:end w:w="28" w:type="dxa"/>
        </w:tblCellMar>
      </w:tblPr>
      <w:tblGrid>
        <w:gridCol w:w="2014"/>
        <w:gridCol w:w="3171"/>
      </w:tblGrid>
      <w:tr>
        <w:trPr/>
        <w:tc>
          <w:tcPr>
            <w:tcW w:w="2014" w:type="dxa"/>
            <w:tcBorders/>
            <w:vAlign w:val="center"/>
          </w:tcPr>
          <w:p>
            <w:pPr>
              <w:pStyle w:val="TableHeading"/>
              <w:suppressLineNumbers/>
              <w:shd w:fill="176B4D" w:val="clear"/>
              <w:bidi w:val="0"/>
              <w:spacing w:before="0" w:after="140"/>
              <w:jc w:val="start"/>
              <w:rPr/>
            </w:pPr>
            <w:r>
              <w:rPr/>
              <w:t>Entity</w:t>
            </w:r>
          </w:p>
        </w:tc>
        <w:tc>
          <w:tcPr>
            <w:tcW w:w="3171" w:type="dxa"/>
            <w:tcBorders/>
            <w:vAlign w:val="center"/>
          </w:tcPr>
          <w:p>
            <w:pPr>
              <w:pStyle w:val="TableHeading"/>
              <w:suppressLineNumbers/>
              <w:shd w:fill="176B4D" w:val="clear"/>
              <w:bidi w:val="0"/>
              <w:spacing w:before="0" w:after="140"/>
              <w:jc w:val="start"/>
              <w:rPr/>
            </w:pPr>
            <w:r>
              <w:rPr/>
              <w:t>Purpose</w:t>
            </w:r>
          </w:p>
        </w:tc>
      </w:tr>
      <w:tr>
        <w:trPr/>
        <w:tc>
          <w:tcPr>
            <w:tcW w:w="2014" w:type="dxa"/>
            <w:tcBorders/>
            <w:vAlign w:val="center"/>
          </w:tcPr>
          <w:p>
            <w:pPr>
              <w:pStyle w:val="TableContents"/>
              <w:bidi w:val="0"/>
              <w:spacing w:before="0" w:after="140"/>
              <w:rPr/>
            </w:pPr>
            <w:r>
              <w:rPr/>
              <w:t>Facility</w:t>
            </w:r>
          </w:p>
        </w:tc>
        <w:tc>
          <w:tcPr>
            <w:tcW w:w="3171" w:type="dxa"/>
            <w:tcBorders/>
            <w:vAlign w:val="center"/>
          </w:tcPr>
          <w:p>
            <w:pPr>
              <w:pStyle w:val="TableContents"/>
              <w:bidi w:val="0"/>
              <w:spacing w:before="0" w:after="140"/>
              <w:rPr/>
            </w:pPr>
            <w:r>
              <w:rPr/>
              <w:t>Location, boundary, ownership and operating context</w:t>
            </w:r>
          </w:p>
        </w:tc>
      </w:tr>
      <w:tr>
        <w:trPr/>
        <w:tc>
          <w:tcPr>
            <w:tcW w:w="2014" w:type="dxa"/>
            <w:tcBorders/>
            <w:vAlign w:val="center"/>
          </w:tcPr>
          <w:p>
            <w:pPr>
              <w:pStyle w:val="TableContents"/>
              <w:bidi w:val="0"/>
              <w:spacing w:before="0" w:after="140"/>
              <w:rPr/>
            </w:pPr>
            <w:r>
              <w:rPr/>
              <w:t>IndustryTemplate</w:t>
            </w:r>
          </w:p>
        </w:tc>
        <w:tc>
          <w:tcPr>
            <w:tcW w:w="3171" w:type="dxa"/>
            <w:tcBorders/>
            <w:vAlign w:val="center"/>
          </w:tcPr>
          <w:p>
            <w:pPr>
              <w:pStyle w:val="TableContents"/>
              <w:bidi w:val="0"/>
              <w:spacing w:before="0" w:after="140"/>
              <w:rPr/>
            </w:pPr>
            <w:r>
              <w:rPr/>
              <w:t>Versioned likely processes and discovery questions</w:t>
            </w:r>
          </w:p>
        </w:tc>
      </w:tr>
      <w:tr>
        <w:trPr/>
        <w:tc>
          <w:tcPr>
            <w:tcW w:w="2014" w:type="dxa"/>
            <w:tcBorders/>
            <w:vAlign w:val="center"/>
          </w:tcPr>
          <w:p>
            <w:pPr>
              <w:pStyle w:val="TableContents"/>
              <w:bidi w:val="0"/>
              <w:spacing w:before="0" w:after="140"/>
              <w:rPr/>
            </w:pPr>
            <w:r>
              <w:rPr/>
              <w:t>Product</w:t>
            </w:r>
          </w:p>
        </w:tc>
        <w:tc>
          <w:tcPr>
            <w:tcW w:w="3171" w:type="dxa"/>
            <w:tcBorders/>
            <w:vAlign w:val="center"/>
          </w:tcPr>
          <w:p>
            <w:pPr>
              <w:pStyle w:val="TableContents"/>
              <w:bidi w:val="0"/>
              <w:spacing w:before="0" w:after="140"/>
              <w:rPr/>
            </w:pPr>
            <w:r>
              <w:rPr/>
              <w:t>Manufactured output and production-route context</w:t>
            </w:r>
          </w:p>
        </w:tc>
      </w:tr>
      <w:tr>
        <w:trPr/>
        <w:tc>
          <w:tcPr>
            <w:tcW w:w="2014" w:type="dxa"/>
            <w:tcBorders/>
            <w:vAlign w:val="center"/>
          </w:tcPr>
          <w:p>
            <w:pPr>
              <w:pStyle w:val="TableContents"/>
              <w:bidi w:val="0"/>
              <w:spacing w:before="0" w:after="140"/>
              <w:rPr/>
            </w:pPr>
            <w:r>
              <w:rPr/>
              <w:t>ProcessStep</w:t>
            </w:r>
          </w:p>
        </w:tc>
        <w:tc>
          <w:tcPr>
            <w:tcW w:w="3171" w:type="dxa"/>
            <w:tcBorders/>
            <w:vAlign w:val="center"/>
          </w:tcPr>
          <w:p>
            <w:pPr>
              <w:pStyle w:val="TableContents"/>
              <w:bidi w:val="0"/>
              <w:spacing w:before="0" w:after="140"/>
              <w:rPr/>
            </w:pPr>
            <w:r>
              <w:rPr/>
              <w:t>Actual ordered operation, location and outsourcing status</w:t>
            </w:r>
          </w:p>
        </w:tc>
      </w:tr>
      <w:tr>
        <w:trPr/>
        <w:tc>
          <w:tcPr>
            <w:tcW w:w="2014" w:type="dxa"/>
            <w:tcBorders/>
            <w:vAlign w:val="center"/>
          </w:tcPr>
          <w:p>
            <w:pPr>
              <w:pStyle w:val="TableContents"/>
              <w:bidi w:val="0"/>
              <w:spacing w:before="0" w:after="140"/>
              <w:rPr/>
            </w:pPr>
            <w:r>
              <w:rPr/>
              <w:t>Equipment</w:t>
            </w:r>
          </w:p>
        </w:tc>
        <w:tc>
          <w:tcPr>
            <w:tcW w:w="3171" w:type="dxa"/>
            <w:tcBorders/>
            <w:vAlign w:val="center"/>
          </w:tcPr>
          <w:p>
            <w:pPr>
              <w:pStyle w:val="TableContents"/>
              <w:bidi w:val="0"/>
              <w:spacing w:before="0" w:after="140"/>
              <w:rPr/>
            </w:pPr>
            <w:r>
              <w:rPr/>
              <w:t>Asset type, process link, energy/material use and control</w:t>
            </w:r>
          </w:p>
        </w:tc>
      </w:tr>
      <w:tr>
        <w:trPr/>
        <w:tc>
          <w:tcPr>
            <w:tcW w:w="2014" w:type="dxa"/>
            <w:tcBorders/>
            <w:vAlign w:val="center"/>
          </w:tcPr>
          <w:p>
            <w:pPr>
              <w:pStyle w:val="TableContents"/>
              <w:bidi w:val="0"/>
              <w:spacing w:before="0" w:after="140"/>
              <w:rPr/>
            </w:pPr>
            <w:r>
              <w:rPr/>
              <w:t>InputOutputFlow</w:t>
            </w:r>
          </w:p>
        </w:tc>
        <w:tc>
          <w:tcPr>
            <w:tcW w:w="3171" w:type="dxa"/>
            <w:tcBorders/>
            <w:vAlign w:val="center"/>
          </w:tcPr>
          <w:p>
            <w:pPr>
              <w:pStyle w:val="TableContents"/>
              <w:bidi w:val="0"/>
              <w:spacing w:before="0" w:after="140"/>
              <w:rPr/>
            </w:pPr>
            <w:r>
              <w:rPr/>
              <w:t>Energy, fuel, material, chemical, gas, waste and logistics relationship</w:t>
            </w:r>
          </w:p>
        </w:tc>
      </w:tr>
      <w:tr>
        <w:trPr/>
        <w:tc>
          <w:tcPr>
            <w:tcW w:w="2014" w:type="dxa"/>
            <w:tcBorders/>
            <w:vAlign w:val="center"/>
          </w:tcPr>
          <w:p>
            <w:pPr>
              <w:pStyle w:val="TableContents"/>
              <w:bidi w:val="0"/>
              <w:spacing w:before="0" w:after="140"/>
              <w:rPr/>
            </w:pPr>
            <w:r>
              <w:rPr/>
              <w:t>SourceRule</w:t>
            </w:r>
          </w:p>
        </w:tc>
        <w:tc>
          <w:tcPr>
            <w:tcW w:w="3171" w:type="dxa"/>
            <w:tcBorders/>
            <w:vAlign w:val="center"/>
          </w:tcPr>
          <w:p>
            <w:pPr>
              <w:pStyle w:val="TableContents"/>
              <w:bidi w:val="0"/>
              <w:spacing w:before="0" w:after="140"/>
              <w:rPr/>
            </w:pPr>
            <w:r>
              <w:rPr/>
              <w:t>Explainable condition, candidate result, rationale and version</w:t>
            </w:r>
          </w:p>
        </w:tc>
      </w:tr>
      <w:tr>
        <w:trPr/>
        <w:tc>
          <w:tcPr>
            <w:tcW w:w="2014" w:type="dxa"/>
            <w:tcBorders/>
            <w:vAlign w:val="center"/>
          </w:tcPr>
          <w:p>
            <w:pPr>
              <w:pStyle w:val="TableContents"/>
              <w:bidi w:val="0"/>
              <w:spacing w:before="0" w:after="140"/>
              <w:rPr/>
            </w:pPr>
            <w:r>
              <w:rPr/>
              <w:t>SourceCandidate</w:t>
            </w:r>
          </w:p>
        </w:tc>
        <w:tc>
          <w:tcPr>
            <w:tcW w:w="3171" w:type="dxa"/>
            <w:tcBorders/>
            <w:vAlign w:val="center"/>
          </w:tcPr>
          <w:p>
            <w:pPr>
              <w:pStyle w:val="TableContents"/>
              <w:bidi w:val="0"/>
              <w:spacing w:before="0" w:after="140"/>
              <w:rPr/>
            </w:pPr>
            <w:r>
              <w:rPr/>
              <w:t>Suggested source with origin: template, rule, ML or checklist</w:t>
            </w:r>
          </w:p>
        </w:tc>
      </w:tr>
      <w:tr>
        <w:trPr/>
        <w:tc>
          <w:tcPr>
            <w:tcW w:w="2014" w:type="dxa"/>
            <w:tcBorders/>
            <w:vAlign w:val="center"/>
          </w:tcPr>
          <w:p>
            <w:pPr>
              <w:pStyle w:val="TableContents"/>
              <w:bidi w:val="0"/>
              <w:spacing w:before="0" w:after="140"/>
              <w:rPr/>
            </w:pPr>
            <w:r>
              <w:rPr/>
              <w:t>EvidenceRecord</w:t>
            </w:r>
          </w:p>
        </w:tc>
        <w:tc>
          <w:tcPr>
            <w:tcW w:w="3171" w:type="dxa"/>
            <w:tcBorders/>
            <w:vAlign w:val="center"/>
          </w:tcPr>
          <w:p>
            <w:pPr>
              <w:pStyle w:val="TableContents"/>
              <w:bidi w:val="0"/>
              <w:spacing w:before="0" w:after="140"/>
              <w:rPr/>
            </w:pPr>
            <w:r>
              <w:rPr/>
              <w:t>Evidence type, reference, owner, date and review status</w:t>
            </w:r>
          </w:p>
        </w:tc>
      </w:tr>
      <w:tr>
        <w:trPr/>
        <w:tc>
          <w:tcPr>
            <w:tcW w:w="2014" w:type="dxa"/>
            <w:tcBorders/>
            <w:vAlign w:val="center"/>
          </w:tcPr>
          <w:p>
            <w:pPr>
              <w:pStyle w:val="TableContents"/>
              <w:bidi w:val="0"/>
              <w:spacing w:before="0" w:after="140"/>
              <w:rPr/>
            </w:pPr>
            <w:r>
              <w:rPr/>
              <w:t>SourceInventoryItem</w:t>
            </w:r>
          </w:p>
        </w:tc>
        <w:tc>
          <w:tcPr>
            <w:tcW w:w="3171" w:type="dxa"/>
            <w:tcBorders/>
            <w:vAlign w:val="center"/>
          </w:tcPr>
          <w:p>
            <w:pPr>
              <w:pStyle w:val="TableContents"/>
              <w:bidi w:val="0"/>
              <w:spacing w:before="0" w:after="140"/>
              <w:rPr/>
            </w:pPr>
            <w:r>
              <w:rPr/>
              <w:t>Final status, provisional scope, confidence explanation and future data need</w:t>
            </w:r>
          </w:p>
        </w:tc>
      </w:tr>
    </w:tbl>
    <w:p>
      <w:pPr>
        <w:pStyle w:val="Heading2"/>
        <w:bidi w:val="0"/>
        <w:rPr/>
      </w:pPr>
      <w:r>
        <w:rPr/>
        <w:t>10.2 Governance requirements</w:t>
      </w:r>
    </w:p>
    <w:p>
      <w:pPr>
        <w:pStyle w:val="BodyText"/>
        <w:numPr>
          <w:ilvl w:val="0"/>
          <w:numId w:val="15"/>
        </w:numPr>
        <w:tabs>
          <w:tab w:val="clear" w:pos="1134"/>
          <w:tab w:val="left" w:pos="709" w:leader="none"/>
        </w:tabs>
        <w:bidi w:val="0"/>
        <w:spacing w:before="0" w:after="0"/>
        <w:ind w:hanging="283" w:start="709"/>
        <w:rPr/>
      </w:pPr>
      <w:r>
        <w:rPr/>
        <w:t xml:space="preserve">Version industry templates, rules, taxonomy and model configuration. </w:t>
      </w:r>
    </w:p>
    <w:p>
      <w:pPr>
        <w:pStyle w:val="BodyText"/>
        <w:numPr>
          <w:ilvl w:val="0"/>
          <w:numId w:val="15"/>
        </w:numPr>
        <w:tabs>
          <w:tab w:val="clear" w:pos="1134"/>
          <w:tab w:val="left" w:pos="709" w:leader="none"/>
        </w:tabs>
        <w:bidi w:val="0"/>
        <w:spacing w:before="0" w:after="0"/>
        <w:ind w:hanging="283" w:start="709"/>
        <w:rPr/>
      </w:pPr>
      <w:r>
        <w:rPr/>
        <w:t xml:space="preserve">Preserve who confirmed or rejected a source and when. </w:t>
      </w:r>
    </w:p>
    <w:p>
      <w:pPr>
        <w:pStyle w:val="BodyText"/>
        <w:numPr>
          <w:ilvl w:val="0"/>
          <w:numId w:val="15"/>
        </w:numPr>
        <w:tabs>
          <w:tab w:val="clear" w:pos="1134"/>
          <w:tab w:val="left" w:pos="709" w:leader="none"/>
        </w:tabs>
        <w:bidi w:val="0"/>
        <w:spacing w:before="0" w:after="0"/>
        <w:ind w:hanging="283" w:start="709"/>
        <w:rPr/>
      </w:pPr>
      <w:r>
        <w:rPr/>
        <w:t xml:space="preserve">Record why an item was classified as not applicable. </w:t>
      </w:r>
    </w:p>
    <w:p>
      <w:pPr>
        <w:pStyle w:val="BodyText"/>
        <w:numPr>
          <w:ilvl w:val="0"/>
          <w:numId w:val="15"/>
        </w:numPr>
        <w:tabs>
          <w:tab w:val="clear" w:pos="1134"/>
          <w:tab w:val="left" w:pos="709" w:leader="none"/>
        </w:tabs>
        <w:bidi w:val="0"/>
        <w:spacing w:before="0" w:after="0"/>
        <w:ind w:hanging="283" w:start="709"/>
        <w:rPr/>
      </w:pPr>
      <w:r>
        <w:rPr/>
        <w:t xml:space="preserve">Keep original user statements separate from model-extracted fields. </w:t>
      </w:r>
    </w:p>
    <w:p>
      <w:pPr>
        <w:pStyle w:val="BodyText"/>
        <w:numPr>
          <w:ilvl w:val="0"/>
          <w:numId w:val="15"/>
        </w:numPr>
        <w:tabs>
          <w:tab w:val="clear" w:pos="1134"/>
          <w:tab w:val="left" w:pos="709" w:leader="none"/>
        </w:tabs>
        <w:bidi w:val="0"/>
        <w:spacing w:before="0" w:after="0"/>
        <w:ind w:hanging="283" w:start="709"/>
        <w:rPr/>
      </w:pPr>
      <w:r>
        <w:rPr/>
        <w:t xml:space="preserve">Allow corrections without deleting the previous assessment history. </w:t>
      </w:r>
    </w:p>
    <w:p>
      <w:pPr>
        <w:pStyle w:val="BodyText"/>
        <w:numPr>
          <w:ilvl w:val="0"/>
          <w:numId w:val="15"/>
        </w:numPr>
        <w:tabs>
          <w:tab w:val="clear" w:pos="1134"/>
          <w:tab w:val="left" w:pos="709" w:leader="none"/>
        </w:tabs>
        <w:bidi w:val="0"/>
        <w:ind w:hanging="283" w:start="709"/>
        <w:rPr/>
      </w:pPr>
      <w:r>
        <w:rPr/>
        <w:t xml:space="preserve">Use controlled source labels so later calculation factors can be mapped consistently. </w:t>
      </w:r>
    </w:p>
    <w:p>
      <w:pPr>
        <w:pStyle w:val="Heading2"/>
        <w:bidi w:val="0"/>
        <w:rPr/>
      </w:pPr>
      <w:r>
        <w:rPr/>
        <w:t>10.3 Interface to the later calculation phase</w:t>
      </w:r>
    </w:p>
    <w:p>
      <w:pPr>
        <w:pStyle w:val="BodyText"/>
        <w:bidi w:val="0"/>
        <w:rPr/>
      </w:pPr>
      <w:r>
        <w:rPr/>
        <w:t>Although quantification is outside this document, every confirmed source should specify the activity data that will eventually be required. Examples include electricity in kWh, fuel in litres or kilograms, refrigerant mass, material mass, transport tonne-kilometres, waste mass and treatment route. This makes the identification inventory calculation-ready without calculating anything prematurely.</w:t>
      </w:r>
    </w:p>
    <w:p>
      <w:pPr>
        <w:pStyle w:val="Heading2"/>
        <w:bidi w:val="0"/>
        <w:rPr/>
      </w:pPr>
      <w:r>
        <w:rPr/>
        <w:t>10.4 Authoritative methodology references</w:t>
      </w:r>
    </w:p>
    <w:p>
      <w:pPr>
        <w:pStyle w:val="BodyText"/>
        <w:numPr>
          <w:ilvl w:val="0"/>
          <w:numId w:val="16"/>
        </w:numPr>
        <w:tabs>
          <w:tab w:val="clear" w:pos="1134"/>
          <w:tab w:val="left" w:pos="709" w:leader="none"/>
        </w:tabs>
        <w:bidi w:val="0"/>
        <w:spacing w:before="0" w:after="0"/>
        <w:ind w:hanging="283" w:start="709"/>
        <w:rPr/>
      </w:pPr>
      <w:r>
        <w:rPr/>
        <w:t xml:space="preserve">GHG Protocol Corporate Standard and calculation guidance: https://ghgprotocol.org/corporate-standard and https://ghgprotocol.org/calculation-tools </w:t>
      </w:r>
    </w:p>
    <w:p>
      <w:pPr>
        <w:pStyle w:val="BodyText"/>
        <w:numPr>
          <w:ilvl w:val="0"/>
          <w:numId w:val="16"/>
        </w:numPr>
        <w:tabs>
          <w:tab w:val="clear" w:pos="1134"/>
          <w:tab w:val="left" w:pos="709" w:leader="none"/>
        </w:tabs>
        <w:bidi w:val="0"/>
        <w:spacing w:before="0" w:after="0"/>
        <w:ind w:hanging="283" w:start="709"/>
        <w:rPr/>
      </w:pPr>
      <w:r>
        <w:rPr/>
        <w:t xml:space="preserve">GHG Protocol Scope 3 calculation guidance: https://ghgprotocol.org/scope-3-calculation-guidance-2 </w:t>
      </w:r>
    </w:p>
    <w:p>
      <w:pPr>
        <w:pStyle w:val="BodyText"/>
        <w:numPr>
          <w:ilvl w:val="0"/>
          <w:numId w:val="16"/>
        </w:numPr>
        <w:tabs>
          <w:tab w:val="clear" w:pos="1134"/>
          <w:tab w:val="left" w:pos="709" w:leader="none"/>
        </w:tabs>
        <w:bidi w:val="0"/>
        <w:spacing w:before="0" w:after="0"/>
        <w:ind w:hanging="283" w:start="709"/>
        <w:rPr/>
      </w:pPr>
      <w:r>
        <w:rPr/>
        <w:t xml:space="preserve">IPCC 2006 Guidelines and 2019 Refinement: https://www.ipcc-nggip.iges.or.jp/public/2006gl/ and https://www.ipcc-nggip.iges.or.jp/public/2019rf/ </w:t>
      </w:r>
    </w:p>
    <w:p>
      <w:pPr>
        <w:pStyle w:val="BodyText"/>
        <w:numPr>
          <w:ilvl w:val="0"/>
          <w:numId w:val="16"/>
        </w:numPr>
        <w:tabs>
          <w:tab w:val="clear" w:pos="1134"/>
          <w:tab w:val="left" w:pos="709" w:leader="none"/>
        </w:tabs>
        <w:bidi w:val="0"/>
        <w:spacing w:before="0" w:after="0"/>
        <w:ind w:hanging="283" w:start="709"/>
        <w:rPr/>
      </w:pPr>
      <w:r>
        <w:rPr/>
        <w:t xml:space="preserve">Bureau of Energy Efficiency MSME Energy and Resource Mapping: https://beeindia.gov.in/ </w:t>
      </w:r>
    </w:p>
    <w:p>
      <w:pPr>
        <w:pStyle w:val="BodyText"/>
        <w:numPr>
          <w:ilvl w:val="0"/>
          <w:numId w:val="16"/>
        </w:numPr>
        <w:tabs>
          <w:tab w:val="clear" w:pos="1134"/>
          <w:tab w:val="left" w:pos="709" w:leader="none"/>
        </w:tabs>
        <w:bidi w:val="0"/>
        <w:ind w:hanging="283" w:start="709"/>
        <w:rPr/>
      </w:pPr>
      <w:r>
        <w:rPr/>
        <w:t xml:space="preserve">Central Electricity Authority CO2 database for the later quantification phase: https://cea.nic.in/cdm-co2-baseline-database/ </w:t>
      </w:r>
    </w:p>
    <w:p>
      <w:pPr>
        <w:pStyle w:val="BodyText"/>
        <w:keepLines/>
        <w:bidi w:val="0"/>
        <w:spacing w:before="200" w:after="280"/>
        <w:ind w:hanging="0" w:start="200" w:end="200"/>
        <w:rPr>
          <w:color w:val="145A43"/>
        </w:rPr>
      </w:pPr>
      <w:r>
        <w:rPr>
          <w:b/>
          <w:color w:val="145A43"/>
        </w:rPr>
        <w:t>Final product statement:</w:t>
      </w:r>
      <w:r>
        <w:rPr>
          <w:color w:val="145A43"/>
        </w:rPr>
        <w:t xml:space="preserve"> The identification engine combines industry context, actual process mapping, explainable rules, ML-assisted gap detection, a universal checklist and evidence-based verification to create a complete and auditable emission-source inventory. Calculation begins only after this inventory has been reviewed. </w:t>
      </w:r>
    </w:p>
    <w:p>
      <w:pPr>
        <w:pStyle w:val="BodyTextfooter-note"/>
        <w:bidi w:val="0"/>
        <w:spacing w:before="360" w:after="140"/>
        <w:rPr/>
      </w:pPr>
      <w:r>
        <w:rPr/>
        <w:t>Methodology note: This is a hackathon product-design document, not a verification standard or regulatory certification. Scope classifications remain provisional until the organizational boundary and operational-control approach are formally selected and reviewed.</w:t>
      </w:r>
    </w:p>
    <w:sectPr>
      <w:type w:val="nextPage"/>
      <w:pgSz w:w="11906" w:h="16838"/>
      <w:pgMar w:left="964" w:right="964" w:gutter="0" w:header="0" w:top="1020" w:footer="0" w:bottom="1020"/>
      <w:pgNumType w:fmt="decimal"/>
      <w:formProt w:val="false"/>
      <w:textDirection w:val="lrTb"/>
      <w:docGrid w:type="default" w:linePitch="600" w:charSpace="3891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FreeSerif">
    <w:charset w:val="01"/>
    <w:family w:val="roman"/>
    <w:pitch w:val="variable"/>
  </w:font>
  <w:font w:name="Aptos">
    <w:altName w:val="Calibri"/>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Liberation Mono">
    <w:altName w:val="Courier New"/>
    <w:charset w:val="01"/>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w="http://schemas.openxmlformats.org/wordprocessingml/2006/main">
  <w:view w:val="web"/>
  <w:zoom w:percent="100"/>
  <w:defaultTabStop w:val="1134"/>
  <w:autoHyphenation w:val="true"/>
  <w:hyphenationZone w:val="0"/>
  <w:compat>
    <w:adjustLineHeightInTable/>
    <w:doNotUseHTMLParagraphAutoSpacing/>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FreeSerif" w:hAnsi="FreeSerif" w:eastAsia="FreeSans" w:cs="FreeSan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41"/>
    </w:pPr>
    <w:rPr>
      <w:rFonts w:ascii="Aptos;Calibri;Arial;sans-serif" w:hAnsi="Aptos;Calibri;Arial;sans-serif" w:eastAsia="Aptos;Calibri;Arial;sans-serif" w:cs="Aptos;Calibri;Arial;sans-serif"/>
      <w:color w:val="24312C"/>
      <w:sz w:val="21"/>
      <w:szCs w:val="21"/>
      <w:lang w:val="en-US" w:eastAsia="zh-CN" w:bidi="hi-IN"/>
    </w:rPr>
  </w:style>
  <w:style w:type="paragraph" w:styleId="Heading1">
    <w:name w:val="heading 1"/>
    <w:basedOn w:val="Heading"/>
    <w:next w:val="BodyText"/>
    <w:qFormat/>
    <w:pPr>
      <w:pBdr>
        <w:bottom w:val="single" w:sz="12" w:space="6" w:color="3C9D72"/>
      </w:pBdr>
      <w:spacing w:before="240" w:after="240"/>
    </w:pPr>
    <w:rPr>
      <w:b/>
      <w:bCs/>
      <w:color w:val="145A43"/>
      <w:sz w:val="44"/>
      <w:szCs w:val="44"/>
    </w:rPr>
  </w:style>
  <w:style w:type="paragraph" w:styleId="Heading2">
    <w:name w:val="heading 2"/>
    <w:basedOn w:val="Heading"/>
    <w:next w:val="BodyText"/>
    <w:qFormat/>
    <w:pPr>
      <w:keepNext w:val="true"/>
      <w:spacing w:before="400" w:after="160"/>
      <w:ind w:start="400" w:end="400"/>
      <w:outlineLvl w:val="1"/>
    </w:pPr>
    <w:rPr>
      <w:rFonts w:ascii="FreeSerif" w:hAnsi="FreeSerif" w:eastAsia="FreeSans" w:cs="FreeSans"/>
      <w:b/>
      <w:bCs/>
      <w:color w:val="176B4D"/>
      <w:sz w:val="32"/>
      <w:szCs w:val="32"/>
    </w:rPr>
  </w:style>
  <w:style w:type="paragraph" w:styleId="Heading3">
    <w:name w:val="heading 3"/>
    <w:basedOn w:val="Heading"/>
    <w:next w:val="BodyText"/>
    <w:qFormat/>
    <w:pPr>
      <w:keepNext w:val="true"/>
      <w:spacing w:before="280" w:after="100"/>
      <w:ind w:start="280" w:end="280"/>
      <w:outlineLvl w:val="2"/>
    </w:pPr>
    <w:rPr>
      <w:rFonts w:ascii="FreeSerif" w:hAnsi="FreeSerif" w:eastAsia="FreeSans" w:cs="FreeSans"/>
      <w:b/>
      <w:bCs/>
      <w:color w:val="255F4B"/>
      <w:sz w:val="25"/>
      <w:szCs w:val="25"/>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Index">
    <w:name w:val="Index"/>
    <w:basedOn w:val="Normal"/>
    <w:qFormat/>
    <w:pPr>
      <w:suppressLineNumbers/>
    </w:pPr>
    <w:rPr/>
  </w:style>
  <w:style w:type="paragraph" w:styleId="Caption">
    <w:name w:val="caption"/>
    <w:basedOn w:val="Normal"/>
    <w:qFormat/>
    <w:pPr>
      <w:suppressLineNumbers/>
      <w:spacing w:before="120" w:after="120"/>
    </w:pPr>
    <w:rPr>
      <w:i/>
      <w:iCs/>
      <w:sz w:val="24"/>
      <w:szCs w:val="24"/>
    </w:rPr>
  </w:style>
  <w:style w:type="paragraph" w:styleId="List">
    <w:name w:val="List"/>
    <w:basedOn w:val="BodyText"/>
    <w:pPr/>
    <w:rPr/>
  </w:style>
  <w:style w:type="paragraph" w:styleId="BodyText">
    <w:name w:val="Body Text"/>
    <w:basedOn w:val="Normal"/>
    <w:pPr>
      <w:spacing w:before="0" w:after="140"/>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shd w:fill="176B4D" w:val="clear"/>
      <w:jc w:val="start"/>
    </w:pPr>
    <w:rPr>
      <w:b/>
      <w:bCs/>
      <w:color w:val="FFFFFF"/>
    </w:rPr>
  </w:style>
  <w:style w:type="paragraph" w:styleId="BodyTextfooter-note">
    <w:name w:val="Body Text.footer-note"/>
    <w:basedOn w:val="BodyText"/>
    <w:qFormat/>
    <w:pPr>
      <w:pBdr>
        <w:top w:val="single" w:sz="2" w:space="6" w:color="BDCBC5"/>
      </w:pBdr>
      <w:spacing w:before="360" w:after="140"/>
    </w:pPr>
    <w:rPr>
      <w:color w:val="66746E"/>
      <w:sz w:val="17"/>
      <w:szCs w:val="17"/>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LibreOffice/26.8.0.3$Linux_X86_64 LibreOffice_project/680$Build-3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Industrial Carbon Emission Source Identification Engine</dc:title>
</cp:coreProperties>
</file>

<file path=docProps/custom.xml><?xml version="1.0" encoding="utf-8"?>
<Properties xmlns="http://schemas.openxmlformats.org/officeDocument/2006/custom-properties" xmlns:vt="http://schemas.openxmlformats.org/officeDocument/2006/docPropsVTypes"/>
</file>