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CE63" w14:textId="77777777" w:rsidR="00BF2979" w:rsidRDefault="00000000">
      <w:pPr>
        <w:spacing w:after="80"/>
        <w:jc w:val="center"/>
      </w:pPr>
      <w:r>
        <w:rPr>
          <w:rFonts w:ascii="Arial" w:eastAsia="Arial" w:hAnsi="Arial" w:cs="Arial"/>
          <w:b/>
          <w:bCs/>
          <w:caps/>
          <w:color w:val="888888"/>
        </w:rPr>
        <w:t>BUSINESS ANALYSIS REPORT</w:t>
      </w:r>
    </w:p>
    <w:p w14:paraId="67FC7D56" w14:textId="77777777" w:rsidR="00BF2979" w:rsidRDefault="00000000">
      <w:pPr>
        <w:spacing w:before="40" w:after="60"/>
        <w:jc w:val="center"/>
      </w:pPr>
      <w:r>
        <w:rPr>
          <w:rFonts w:ascii="Arial" w:eastAsia="Arial" w:hAnsi="Arial" w:cs="Arial"/>
          <w:b/>
          <w:bCs/>
          <w:color w:val="8B4513"/>
          <w:sz w:val="44"/>
          <w:szCs w:val="44"/>
        </w:rPr>
        <w:t>Product Line Profitability &amp; Margin Performance Analysis</w:t>
      </w:r>
    </w:p>
    <w:p w14:paraId="5C61301F" w14:textId="77777777" w:rsidR="00BF2979" w:rsidRDefault="00000000">
      <w:pPr>
        <w:spacing w:after="80"/>
        <w:jc w:val="center"/>
      </w:pPr>
      <w:r>
        <w:rPr>
          <w:rFonts w:ascii="Arial" w:eastAsia="Arial" w:hAnsi="Arial" w:cs="Arial"/>
          <w:b/>
          <w:bCs/>
          <w:color w:val="5D3A1A"/>
          <w:sz w:val="36"/>
          <w:szCs w:val="36"/>
        </w:rPr>
        <w:t>Nassau Candy Distributor</w:t>
      </w:r>
    </w:p>
    <w:p w14:paraId="177FF3F9" w14:textId="77777777" w:rsidR="00BF2979" w:rsidRDefault="00000000">
      <w:pPr>
        <w:spacing w:after="320"/>
        <w:jc w:val="center"/>
      </w:pPr>
      <w:r>
        <w:rPr>
          <w:rFonts w:ascii="Arial" w:eastAsia="Arial" w:hAnsi="Arial" w:cs="Arial"/>
          <w:i/>
          <w:iCs/>
          <w:color w:val="888888"/>
          <w:sz w:val="18"/>
          <w:szCs w:val="18"/>
        </w:rPr>
        <w:t>Prepared for: Project Submission  |  Tools: Python · Pandas · Plotly · Streamlit</w:t>
      </w:r>
    </w:p>
    <w:p w14:paraId="22BF61B7" w14:textId="77777777" w:rsidR="00BF2979" w:rsidRDefault="00000000">
      <w:pPr>
        <w:pStyle w:val="Heading1"/>
        <w:spacing w:before="320" w:after="140"/>
      </w:pPr>
      <w:r>
        <w:rPr>
          <w:rFonts w:ascii="Arial" w:eastAsia="Arial" w:hAnsi="Arial" w:cs="Arial"/>
          <w:b/>
          <w:bCs/>
          <w:color w:val="8B4513"/>
        </w:rPr>
        <w:t>8. Key Insights the Dashboard Generates</w:t>
      </w:r>
    </w:p>
    <w:p w14:paraId="23145D2F" w14:textId="77777777" w:rsidR="00BF2979" w:rsidRDefault="00000000">
      <w:pPr>
        <w:spacing w:before="60" w:after="60"/>
      </w:pPr>
      <w:r>
        <w:rPr>
          <w:rFonts w:ascii="Arial" w:eastAsia="Arial" w:hAnsi="Arial" w:cs="Arial"/>
          <w:sz w:val="22"/>
          <w:szCs w:val="22"/>
        </w:rPr>
        <w:t>The following describes the categories of analytical insight the dashboard is designed to surface. Specific results will vary depending on the dataset and active filter selections.</w:t>
      </w:r>
    </w:p>
    <w:p w14:paraId="5F479449" w14:textId="77777777" w:rsidR="00BF2979" w:rsidRDefault="00BF2979">
      <w:pPr>
        <w:spacing w:before="80" w:after="80"/>
      </w:pPr>
    </w:p>
    <w:p w14:paraId="5810A7E8" w14:textId="77777777" w:rsidR="00BF2979" w:rsidRDefault="00000000">
      <w:pPr>
        <w:pStyle w:val="Heading2"/>
        <w:spacing w:before="240" w:after="100"/>
      </w:pPr>
      <w:r>
        <w:rPr>
          <w:rFonts w:ascii="Arial" w:eastAsia="Arial" w:hAnsi="Arial" w:cs="Arial"/>
          <w:b/>
          <w:bCs/>
          <w:color w:val="5D3A1A"/>
        </w:rPr>
        <w:t>8.1  Product Profitability Distribution</w:t>
      </w:r>
    </w:p>
    <w:p w14:paraId="120664FF" w14:textId="77777777" w:rsidR="00BF2979" w:rsidRDefault="00000000">
      <w:pPr>
        <w:spacing w:before="60" w:after="60"/>
      </w:pPr>
      <w:r>
        <w:rPr>
          <w:rFonts w:ascii="Arial" w:eastAsia="Arial" w:hAnsi="Arial" w:cs="Arial"/>
          <w:sz w:val="22"/>
          <w:szCs w:val="22"/>
        </w:rPr>
        <w:t>The dashboard identifies which product lines generate the highest gross margin percentage and which contribute the most total gross profit. It surfaces cases where revenue contribution and profit contribution are misaligned — products that appear financially strong on revenue alone but underperform on margin.</w:t>
      </w:r>
    </w:p>
    <w:p w14:paraId="1A5D4BD4" w14:textId="77777777" w:rsidR="00BF2979" w:rsidRDefault="00BF2979">
      <w:pPr>
        <w:spacing w:before="80" w:after="80"/>
      </w:pPr>
    </w:p>
    <w:p w14:paraId="0832B88B" w14:textId="77777777" w:rsidR="00BF2979" w:rsidRDefault="00000000">
      <w:pPr>
        <w:pStyle w:val="Heading2"/>
        <w:spacing w:before="240" w:after="100"/>
      </w:pPr>
      <w:r>
        <w:rPr>
          <w:rFonts w:ascii="Arial" w:eastAsia="Arial" w:hAnsi="Arial" w:cs="Arial"/>
          <w:b/>
          <w:bCs/>
          <w:color w:val="5D3A1A"/>
        </w:rPr>
        <w:t>8.2  Product Portfolio Segmentation</w:t>
      </w:r>
    </w:p>
    <w:p w14:paraId="1CDE6CA3" w14:textId="77777777" w:rsidR="00BF2979" w:rsidRDefault="00000000">
      <w:pPr>
        <w:spacing w:before="60" w:after="60"/>
      </w:pPr>
      <w:r>
        <w:rPr>
          <w:rFonts w:ascii="Arial" w:eastAsia="Arial" w:hAnsi="Arial" w:cs="Arial"/>
          <w:sz w:val="22"/>
          <w:szCs w:val="22"/>
        </w:rPr>
        <w:t>Products are classified into four strategic segments based on their position relative to portfolio-wide averages for sales and gross margin:</w:t>
      </w:r>
    </w:p>
    <w:p w14:paraId="1BFA6F46" w14:textId="77777777" w:rsidR="00BF2979" w:rsidRDefault="00000000">
      <w:pPr>
        <w:spacing w:before="40" w:after="40"/>
        <w:ind w:left="480" w:hanging="240"/>
      </w:pPr>
      <w:r>
        <w:rPr>
          <w:rFonts w:ascii="Arial" w:eastAsia="Arial" w:hAnsi="Arial" w:cs="Arial"/>
          <w:sz w:val="22"/>
          <w:szCs w:val="22"/>
        </w:rPr>
        <w:t>• High-Sales / High-Margin products represent the strongest contributors and warrant protection.</w:t>
      </w:r>
    </w:p>
    <w:p w14:paraId="718BA3E6" w14:textId="77777777" w:rsidR="00BF2979" w:rsidRDefault="00000000">
      <w:pPr>
        <w:spacing w:before="40" w:after="40"/>
        <w:ind w:left="480" w:hanging="240"/>
      </w:pPr>
      <w:r>
        <w:rPr>
          <w:rFonts w:ascii="Arial" w:eastAsia="Arial" w:hAnsi="Arial" w:cs="Arial"/>
          <w:sz w:val="22"/>
          <w:szCs w:val="22"/>
        </w:rPr>
        <w:t>• High-Sales / Low-Margin products appear successful but may require cost or pricing investigation.</w:t>
      </w:r>
    </w:p>
    <w:p w14:paraId="151B95BC" w14:textId="77777777" w:rsidR="00BF2979" w:rsidRDefault="00000000">
      <w:pPr>
        <w:spacing w:before="40" w:after="40"/>
        <w:ind w:left="480" w:hanging="240"/>
      </w:pPr>
      <w:r>
        <w:rPr>
          <w:rFonts w:ascii="Arial" w:eastAsia="Arial" w:hAnsi="Arial" w:cs="Arial"/>
          <w:sz w:val="22"/>
          <w:szCs w:val="22"/>
        </w:rPr>
        <w:t>• Low-Sales / Low-Margin products represent the weakest financial contributors and may be candidates for portfolio review.</w:t>
      </w:r>
    </w:p>
    <w:p w14:paraId="5E4C056B" w14:textId="77777777" w:rsidR="00BF2979" w:rsidRDefault="00000000">
      <w:pPr>
        <w:spacing w:before="40" w:after="40"/>
        <w:ind w:left="480" w:hanging="240"/>
      </w:pPr>
      <w:r>
        <w:rPr>
          <w:rFonts w:ascii="Arial" w:eastAsia="Arial" w:hAnsi="Arial" w:cs="Arial"/>
          <w:sz w:val="22"/>
          <w:szCs w:val="22"/>
        </w:rPr>
        <w:t>• Low-Sales / High-Margin niche products may benefit from volume growth strategies.</w:t>
      </w:r>
    </w:p>
    <w:p w14:paraId="2578B596" w14:textId="77777777" w:rsidR="00BF2979" w:rsidRDefault="00BF2979">
      <w:pPr>
        <w:spacing w:before="80" w:after="80"/>
      </w:pPr>
    </w:p>
    <w:p w14:paraId="22DAFB8F" w14:textId="77777777" w:rsidR="00BF2979" w:rsidRDefault="00000000">
      <w:pPr>
        <w:pStyle w:val="Heading2"/>
        <w:spacing w:before="240" w:after="100"/>
      </w:pPr>
      <w:r>
        <w:rPr>
          <w:rFonts w:ascii="Arial" w:eastAsia="Arial" w:hAnsi="Arial" w:cs="Arial"/>
          <w:b/>
          <w:bCs/>
          <w:color w:val="5D3A1A"/>
        </w:rPr>
        <w:t>8.3  Profit Concentration Risk</w:t>
      </w:r>
    </w:p>
    <w:p w14:paraId="45F15C0A" w14:textId="77777777" w:rsidR="00BF2979" w:rsidRDefault="00000000">
      <w:pPr>
        <w:spacing w:before="60" w:after="60"/>
      </w:pPr>
      <w:r>
        <w:rPr>
          <w:rFonts w:ascii="Arial" w:eastAsia="Arial" w:hAnsi="Arial" w:cs="Arial"/>
          <w:sz w:val="22"/>
          <w:szCs w:val="22"/>
        </w:rPr>
        <w:t>The Pareto analysis quantifies how many products account for 80% of total gross profit and 80% of total revenue. Where a small number of products drive the majority of financial performance, the dashboard surfaces this as a concentration risk requiring strategic attention.</w:t>
      </w:r>
    </w:p>
    <w:p w14:paraId="5764C339" w14:textId="77777777" w:rsidR="00BF2979" w:rsidRDefault="00BF2979">
      <w:pPr>
        <w:spacing w:before="80" w:after="80"/>
      </w:pPr>
    </w:p>
    <w:p w14:paraId="4FA24882" w14:textId="77777777" w:rsidR="00BF2979" w:rsidRDefault="00000000">
      <w:pPr>
        <w:pStyle w:val="Heading2"/>
        <w:spacing w:before="240" w:after="100"/>
      </w:pPr>
      <w:r>
        <w:rPr>
          <w:rFonts w:ascii="Arial" w:eastAsia="Arial" w:hAnsi="Arial" w:cs="Arial"/>
          <w:b/>
          <w:bCs/>
          <w:color w:val="5D3A1A"/>
        </w:rPr>
        <w:t>8.4  Division Performance Gaps</w:t>
      </w:r>
    </w:p>
    <w:p w14:paraId="1FC48529" w14:textId="77777777" w:rsidR="00BF2979" w:rsidRDefault="00000000">
      <w:pPr>
        <w:spacing w:before="60" w:after="60"/>
      </w:pPr>
      <w:r>
        <w:rPr>
          <w:rFonts w:ascii="Arial" w:eastAsia="Arial" w:hAnsi="Arial" w:cs="Arial"/>
          <w:sz w:val="22"/>
          <w:szCs w:val="22"/>
        </w:rPr>
        <w:t>The dashboard identifies divisions where gross margin significantly lags the portfolio average, and where revenue contribution exceeds profit contribution — a signal of cost inefficiency. These gaps provide a basis for targeted cost structure reviews at the division level.</w:t>
      </w:r>
    </w:p>
    <w:p w14:paraId="513538E1" w14:textId="77777777" w:rsidR="00BF2979" w:rsidRDefault="00BF2979">
      <w:pPr>
        <w:spacing w:before="80" w:after="80"/>
      </w:pPr>
    </w:p>
    <w:p w14:paraId="01D3F86B" w14:textId="77777777" w:rsidR="00BF2979" w:rsidRDefault="00000000">
      <w:pPr>
        <w:pStyle w:val="Heading2"/>
        <w:spacing w:before="240" w:after="100"/>
      </w:pPr>
      <w:r>
        <w:rPr>
          <w:rFonts w:ascii="Arial" w:eastAsia="Arial" w:hAnsi="Arial" w:cs="Arial"/>
          <w:b/>
          <w:bCs/>
          <w:color w:val="5D3A1A"/>
        </w:rPr>
        <w:lastRenderedPageBreak/>
        <w:t>8.5  Margin Stability Over Time</w:t>
      </w:r>
    </w:p>
    <w:p w14:paraId="3BEDCAD5" w14:textId="77777777" w:rsidR="00BF2979" w:rsidRDefault="00000000">
      <w:pPr>
        <w:spacing w:before="60" w:after="60"/>
      </w:pPr>
      <w:r>
        <w:rPr>
          <w:rFonts w:ascii="Arial" w:eastAsia="Arial" w:hAnsi="Arial" w:cs="Arial"/>
          <w:sz w:val="22"/>
          <w:szCs w:val="22"/>
        </w:rPr>
        <w:t>Monthly margin tracking identifies whether gross margin is consistent, improving, or deteriorating over the analysis period. Volatility metrics — including standard deviation, variance, and coefficient of variation — provide a quantified assessment of margin predictability.</w:t>
      </w:r>
    </w:p>
    <w:p w14:paraId="2C8B1C6F" w14:textId="77777777" w:rsidR="00BF2979" w:rsidRDefault="00BF2979">
      <w:pPr>
        <w:spacing w:before="80" w:after="80"/>
      </w:pPr>
    </w:p>
    <w:p w14:paraId="6FCE8AA4" w14:textId="77777777" w:rsidR="00BF2979" w:rsidRDefault="00000000">
      <w:pPr>
        <w:pStyle w:val="Heading2"/>
        <w:spacing w:before="240" w:after="100"/>
      </w:pPr>
      <w:r>
        <w:rPr>
          <w:rFonts w:ascii="Arial" w:eastAsia="Arial" w:hAnsi="Arial" w:cs="Arial"/>
          <w:b/>
          <w:bCs/>
          <w:color w:val="5D3A1A"/>
        </w:rPr>
        <w:t>8.6  Cost Structure Anomalies</w:t>
      </w:r>
    </w:p>
    <w:p w14:paraId="61A997E2" w14:textId="77777777" w:rsidR="00BF2979" w:rsidRDefault="00000000">
      <w:pPr>
        <w:spacing w:before="60" w:after="60"/>
      </w:pPr>
      <w:r>
        <w:rPr>
          <w:rFonts w:ascii="Arial" w:eastAsia="Arial" w:hAnsi="Arial" w:cs="Arial"/>
          <w:sz w:val="22"/>
          <w:szCs w:val="22"/>
        </w:rPr>
        <w:t>Products where the cost-to-sales ratio is disproportionately high relative to the portfolio average are identified. The dashboard also flags products where profit per unit falls below the portfolio benchmark, indicating potential pricing or cost inefficiency at the product level.</w:t>
      </w:r>
    </w:p>
    <w:p w14:paraId="42349EEE" w14:textId="77777777" w:rsidR="00BF2979" w:rsidRDefault="00BF2979">
      <w:pPr>
        <w:spacing w:before="80" w:after="80"/>
      </w:pPr>
    </w:p>
    <w:p w14:paraId="77C1E487" w14:textId="77777777" w:rsidR="00BF2979" w:rsidRDefault="00000000">
      <w:pPr>
        <w:pStyle w:val="Heading1"/>
        <w:spacing w:before="320" w:after="140"/>
      </w:pPr>
      <w:r>
        <w:rPr>
          <w:rFonts w:ascii="Arial" w:eastAsia="Arial" w:hAnsi="Arial" w:cs="Arial"/>
          <w:b/>
          <w:bCs/>
          <w:color w:val="8B4513"/>
        </w:rPr>
        <w:t>9. Business Recommendations</w:t>
      </w:r>
    </w:p>
    <w:p w14:paraId="6469079A" w14:textId="77777777" w:rsidR="00BF2979" w:rsidRDefault="00000000">
      <w:pPr>
        <w:spacing w:before="60" w:after="60"/>
      </w:pPr>
      <w:r>
        <w:rPr>
          <w:rFonts w:ascii="Arial" w:eastAsia="Arial" w:hAnsi="Arial" w:cs="Arial"/>
          <w:sz w:val="22"/>
          <w:szCs w:val="22"/>
        </w:rPr>
        <w:t>The following recommendations are framed as analytical guidance based on the types of insights the dashboard is designed to generate. Specific products or divisions requiring action will be identified through dashboard exploration.</w:t>
      </w:r>
    </w:p>
    <w:p w14:paraId="2C5582D4" w14:textId="77777777" w:rsidR="00BF2979" w:rsidRDefault="00BF2979">
      <w:pPr>
        <w:spacing w:before="80" w:after="80"/>
      </w:pPr>
    </w:p>
    <w:p w14:paraId="6788B75C" w14:textId="77777777" w:rsidR="00BF2979" w:rsidRDefault="00000000">
      <w:pPr>
        <w:pStyle w:val="Heading2"/>
        <w:spacing w:before="240" w:after="100"/>
      </w:pPr>
      <w:r>
        <w:rPr>
          <w:rFonts w:ascii="Arial" w:eastAsia="Arial" w:hAnsi="Arial" w:cs="Arial"/>
          <w:b/>
          <w:bCs/>
          <w:color w:val="5D3A1A"/>
        </w:rPr>
        <w:t>9.1  Pricing Review for Low-Margin Products</w:t>
      </w:r>
    </w:p>
    <w:p w14:paraId="02EF350B" w14:textId="77777777" w:rsidR="00BF2979" w:rsidRDefault="00000000">
      <w:pPr>
        <w:spacing w:before="60" w:after="60"/>
      </w:pPr>
      <w:r>
        <w:rPr>
          <w:rFonts w:ascii="Arial" w:eastAsia="Arial" w:hAnsi="Arial" w:cs="Arial"/>
          <w:sz w:val="22"/>
          <w:szCs w:val="22"/>
        </w:rPr>
        <w:t>Products falling below the selected margin risk threshold require a structured cost-to-sales review. For each flagged product, the business should assess whether the margin shortfall is driven by insufficient pricing relative to cost, or by an underlying cost structure that exceeds industry benchmarks. A pricing reassessment may be warranted for products where the margin gap is persistent.</w:t>
      </w:r>
    </w:p>
    <w:p w14:paraId="2DD29AB3" w14:textId="77777777" w:rsidR="00BF2979" w:rsidRDefault="00BF2979">
      <w:pPr>
        <w:spacing w:before="80" w:after="80"/>
      </w:pPr>
    </w:p>
    <w:p w14:paraId="0385853F" w14:textId="77777777" w:rsidR="00BF2979" w:rsidRDefault="00000000">
      <w:pPr>
        <w:pStyle w:val="Heading2"/>
        <w:spacing w:before="240" w:after="100"/>
      </w:pPr>
      <w:r>
        <w:rPr>
          <w:rFonts w:ascii="Arial" w:eastAsia="Arial" w:hAnsi="Arial" w:cs="Arial"/>
          <w:b/>
          <w:bCs/>
          <w:color w:val="5D3A1A"/>
        </w:rPr>
        <w:t>9.2  Portfolio Rationalisation Assessment</w:t>
      </w:r>
    </w:p>
    <w:p w14:paraId="34557F8E" w14:textId="77777777" w:rsidR="00BF2979" w:rsidRDefault="00000000">
      <w:pPr>
        <w:spacing w:before="60" w:after="60"/>
      </w:pPr>
      <w:r>
        <w:rPr>
          <w:rFonts w:ascii="Arial" w:eastAsia="Arial" w:hAnsi="Arial" w:cs="Arial"/>
          <w:sz w:val="22"/>
          <w:szCs w:val="22"/>
        </w:rPr>
        <w:t>Products classified as Low-Sales / Low-Margin represent the weakest financial contributors to the portfolio. These products should be subject to a formal performance review to determine whether continued investment in production and distribution is commercially justified. Potential portfolio restructuring should be evaluated on a case-by-case basis.</w:t>
      </w:r>
    </w:p>
    <w:p w14:paraId="4F0B30DE" w14:textId="77777777" w:rsidR="00BF2979" w:rsidRDefault="00BF2979">
      <w:pPr>
        <w:spacing w:before="80" w:after="80"/>
      </w:pPr>
    </w:p>
    <w:p w14:paraId="7B5E9D05" w14:textId="77777777" w:rsidR="00BF2979" w:rsidRDefault="00000000">
      <w:pPr>
        <w:pStyle w:val="Heading2"/>
        <w:spacing w:before="240" w:after="100"/>
      </w:pPr>
      <w:r>
        <w:rPr>
          <w:rFonts w:ascii="Arial" w:eastAsia="Arial" w:hAnsi="Arial" w:cs="Arial"/>
          <w:b/>
          <w:bCs/>
          <w:color w:val="5D3A1A"/>
        </w:rPr>
        <w:t>9.3  Division Cost Efficiency Investigation</w:t>
      </w:r>
    </w:p>
    <w:p w14:paraId="77BAC9FD" w14:textId="77777777" w:rsidR="00BF2979" w:rsidRDefault="00000000">
      <w:pPr>
        <w:spacing w:before="60" w:after="60"/>
      </w:pPr>
      <w:r>
        <w:rPr>
          <w:rFonts w:ascii="Arial" w:eastAsia="Arial" w:hAnsi="Arial" w:cs="Arial"/>
          <w:sz w:val="22"/>
          <w:szCs w:val="22"/>
        </w:rPr>
        <w:t>Divisions recording gross margins below the portfolio average require a cost efficiency investigation. The objective is to determine whether the margin gap reflects structural product mix differences or correctable cost inefficiencies. Benchmarking division cost-to-sales ratios against the best-performing division provides a starting point for this analysis.</w:t>
      </w:r>
    </w:p>
    <w:p w14:paraId="53E3F4CE" w14:textId="77777777" w:rsidR="00BF2979" w:rsidRDefault="00BF2979">
      <w:pPr>
        <w:spacing w:before="80" w:after="80"/>
      </w:pPr>
    </w:p>
    <w:p w14:paraId="6B337373" w14:textId="77777777" w:rsidR="00BF2979" w:rsidRDefault="00000000">
      <w:pPr>
        <w:pStyle w:val="Heading2"/>
        <w:spacing w:before="240" w:after="100"/>
      </w:pPr>
      <w:r>
        <w:rPr>
          <w:rFonts w:ascii="Arial" w:eastAsia="Arial" w:hAnsi="Arial" w:cs="Arial"/>
          <w:b/>
          <w:bCs/>
          <w:color w:val="5D3A1A"/>
        </w:rPr>
        <w:t>9.4  Concentration Risk Mitigation</w:t>
      </w:r>
    </w:p>
    <w:p w14:paraId="2FE10335" w14:textId="77777777" w:rsidR="00BF2979" w:rsidRDefault="00000000">
      <w:pPr>
        <w:spacing w:before="60" w:after="60"/>
      </w:pPr>
      <w:r>
        <w:rPr>
          <w:rFonts w:ascii="Arial" w:eastAsia="Arial" w:hAnsi="Arial" w:cs="Arial"/>
          <w:sz w:val="22"/>
          <w:szCs w:val="22"/>
        </w:rPr>
        <w:t>Where a small number of products account for the majority of gross profit, the business faces a structural dependency risk. Margin improvement initiatives targeting lower-ranked products may help distribute financial performance more broadly across the portfolio, reducing exposure to margin deterioration in any single product line.</w:t>
      </w:r>
    </w:p>
    <w:p w14:paraId="6644C89E" w14:textId="77777777" w:rsidR="00BF2979" w:rsidRDefault="00BF2979">
      <w:pPr>
        <w:spacing w:before="80" w:after="80"/>
      </w:pPr>
    </w:p>
    <w:p w14:paraId="77D1305C" w14:textId="77777777" w:rsidR="00BF2979" w:rsidRDefault="00000000">
      <w:pPr>
        <w:pStyle w:val="Heading2"/>
        <w:spacing w:before="240" w:after="100"/>
      </w:pPr>
      <w:r>
        <w:rPr>
          <w:rFonts w:ascii="Arial" w:eastAsia="Arial" w:hAnsi="Arial" w:cs="Arial"/>
          <w:b/>
          <w:bCs/>
          <w:color w:val="5D3A1A"/>
        </w:rPr>
        <w:t>9.5  Margin Volatility Monitoring</w:t>
      </w:r>
    </w:p>
    <w:p w14:paraId="2F3926E5" w14:textId="77777777" w:rsidR="00BF2979" w:rsidRDefault="00000000">
      <w:pPr>
        <w:spacing w:before="60" w:after="60"/>
      </w:pPr>
      <w:r>
        <w:rPr>
          <w:rFonts w:ascii="Arial" w:eastAsia="Arial" w:hAnsi="Arial" w:cs="Arial"/>
          <w:sz w:val="22"/>
          <w:szCs w:val="22"/>
        </w:rPr>
        <w:t>If monthly margin analysis reveals moderate or high volatility — as measured by the coefficient of variation — the business should investigate whether cost structures fluctuate by volume or season. Consistent monitoring of margin trends provides early warning of margin erosion before it becomes material.</w:t>
      </w:r>
    </w:p>
    <w:p w14:paraId="3E95E134" w14:textId="77777777" w:rsidR="00BF2979" w:rsidRDefault="00BF2979">
      <w:pPr>
        <w:spacing w:before="80" w:after="80"/>
      </w:pPr>
    </w:p>
    <w:sectPr w:rsidR="00BF29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D027E6"/>
    <w:multiLevelType w:val="hybridMultilevel"/>
    <w:tmpl w:val="E2322062"/>
    <w:lvl w:ilvl="0" w:tplc="96D6327C">
      <w:start w:val="1"/>
      <w:numFmt w:val="bullet"/>
      <w:lvlText w:val="●"/>
      <w:lvlJc w:val="left"/>
      <w:pPr>
        <w:ind w:left="720" w:hanging="360"/>
      </w:pPr>
    </w:lvl>
    <w:lvl w:ilvl="1" w:tplc="468E2298">
      <w:start w:val="1"/>
      <w:numFmt w:val="bullet"/>
      <w:lvlText w:val="○"/>
      <w:lvlJc w:val="left"/>
      <w:pPr>
        <w:ind w:left="1440" w:hanging="360"/>
      </w:pPr>
    </w:lvl>
    <w:lvl w:ilvl="2" w:tplc="6AFE2848">
      <w:start w:val="1"/>
      <w:numFmt w:val="bullet"/>
      <w:lvlText w:val="■"/>
      <w:lvlJc w:val="left"/>
      <w:pPr>
        <w:ind w:left="2160" w:hanging="360"/>
      </w:pPr>
    </w:lvl>
    <w:lvl w:ilvl="3" w:tplc="CD3CEF74">
      <w:start w:val="1"/>
      <w:numFmt w:val="bullet"/>
      <w:lvlText w:val="●"/>
      <w:lvlJc w:val="left"/>
      <w:pPr>
        <w:ind w:left="2880" w:hanging="360"/>
      </w:pPr>
    </w:lvl>
    <w:lvl w:ilvl="4" w:tplc="E26003D2">
      <w:start w:val="1"/>
      <w:numFmt w:val="bullet"/>
      <w:lvlText w:val="○"/>
      <w:lvlJc w:val="left"/>
      <w:pPr>
        <w:ind w:left="3600" w:hanging="360"/>
      </w:pPr>
    </w:lvl>
    <w:lvl w:ilvl="5" w:tplc="CC7082BC">
      <w:start w:val="1"/>
      <w:numFmt w:val="bullet"/>
      <w:lvlText w:val="■"/>
      <w:lvlJc w:val="left"/>
      <w:pPr>
        <w:ind w:left="4320" w:hanging="360"/>
      </w:pPr>
    </w:lvl>
    <w:lvl w:ilvl="6" w:tplc="09DA4C7C">
      <w:start w:val="1"/>
      <w:numFmt w:val="bullet"/>
      <w:lvlText w:val="●"/>
      <w:lvlJc w:val="left"/>
      <w:pPr>
        <w:ind w:left="5040" w:hanging="360"/>
      </w:pPr>
    </w:lvl>
    <w:lvl w:ilvl="7" w:tplc="AED47130">
      <w:start w:val="1"/>
      <w:numFmt w:val="bullet"/>
      <w:lvlText w:val="●"/>
      <w:lvlJc w:val="left"/>
      <w:pPr>
        <w:ind w:left="5760" w:hanging="360"/>
      </w:pPr>
    </w:lvl>
    <w:lvl w:ilvl="8" w:tplc="D7743980">
      <w:start w:val="1"/>
      <w:numFmt w:val="bullet"/>
      <w:lvlText w:val="●"/>
      <w:lvlJc w:val="left"/>
      <w:pPr>
        <w:ind w:left="6480" w:hanging="360"/>
      </w:pPr>
    </w:lvl>
  </w:abstractNum>
  <w:num w:numId="1" w16cid:durableId="853304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979"/>
    <w:rsid w:val="005C325A"/>
    <w:rsid w:val="00BF2979"/>
    <w:rsid w:val="00E025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B4EE4"/>
  <w15:docId w15:val="{41E9C7A4-B88F-4196-8B43-4C272BEB4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714</Words>
  <Characters>4073</Characters>
  <Application>Microsoft Office Word</Application>
  <DocSecurity>0</DocSecurity>
  <Lines>33</Lines>
  <Paragraphs>9</Paragraphs>
  <ScaleCrop>false</ScaleCrop>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Bhawna Singh</cp:lastModifiedBy>
  <cp:revision>3</cp:revision>
  <dcterms:created xsi:type="dcterms:W3CDTF">2026-06-16T04:39:00Z</dcterms:created>
  <dcterms:modified xsi:type="dcterms:W3CDTF">2026-06-16T11:15:00Z</dcterms:modified>
</cp:coreProperties>
</file>