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0F39A">
      <w:pPr>
        <w:pStyle w:val="20"/>
        <w:spacing w:before="100" w:beforeAutospacing="1" w:after="100" w:afterAutospacing="1" w:line="276" w:lineRule="auto"/>
        <w:rPr>
          <w:rFonts w:eastAsia="MS Mincho"/>
          <w:b/>
          <w:bCs/>
          <w:sz w:val="48"/>
          <w:szCs w:val="48"/>
        </w:rPr>
      </w:pPr>
      <w:r>
        <w:rPr>
          <w:rFonts w:hint="default" w:eastAsia="MS Mincho"/>
          <w:b/>
          <w:bCs/>
          <w:sz w:val="48"/>
          <w:szCs w:val="48"/>
          <w:lang w:val="en-PH"/>
        </w:rPr>
        <w:t>FineTuning Bert Models</w:t>
      </w:r>
      <w:r>
        <w:rPr>
          <w:rFonts w:eastAsia="MS Mincho"/>
          <w:b/>
          <w:bCs/>
          <w:sz w:val="48"/>
          <w:szCs w:val="48"/>
        </w:rPr>
        <w:t xml:space="preserve">  </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tblGrid>
      <w:tr w14:paraId="38D83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2545A47D">
            <w:pPr>
              <w:pStyle w:val="20"/>
              <w:spacing w:before="100" w:beforeAutospacing="1" w:after="100" w:afterAutospacing="1" w:line="276" w:lineRule="auto"/>
              <w:rPr>
                <w:sz w:val="16"/>
                <w:szCs w:val="16"/>
              </w:rPr>
            </w:pPr>
            <w:r>
              <w:rPr>
                <w:rFonts w:hint="default"/>
                <w:sz w:val="18"/>
                <w:szCs w:val="18"/>
                <w:lang w:val="en-PH"/>
              </w:rPr>
              <w:t>Emjhay Theresa B. Tumulak</w:t>
            </w:r>
            <w:r>
              <w:rPr>
                <w:sz w:val="18"/>
                <w:szCs w:val="18"/>
              </w:rPr>
              <w:br w:type="textWrapping"/>
            </w:r>
            <w:r>
              <w:rPr>
                <w:sz w:val="18"/>
                <w:szCs w:val="18"/>
              </w:rPr>
              <w:t>Computer Studies and Engineering</w:t>
            </w:r>
            <w:r>
              <w:rPr>
                <w:sz w:val="18"/>
                <w:szCs w:val="18"/>
              </w:rPr>
              <w:br w:type="textWrapping"/>
            </w:r>
            <w:r>
              <w:rPr>
                <w:sz w:val="18"/>
                <w:szCs w:val="18"/>
              </w:rPr>
              <w:t>Jose Rizal University</w:t>
            </w:r>
            <w:r>
              <w:rPr>
                <w:i/>
                <w:sz w:val="18"/>
                <w:szCs w:val="18"/>
              </w:rPr>
              <w:br w:type="textWrapping"/>
            </w:r>
            <w:r>
              <w:rPr>
                <w:sz w:val="18"/>
                <w:szCs w:val="18"/>
              </w:rPr>
              <w:t>Mandaluyong City, Philippines</w:t>
            </w:r>
            <w:r>
              <w:rPr>
                <w:sz w:val="18"/>
                <w:szCs w:val="18"/>
              </w:rPr>
              <w:br w:type="textWrapping"/>
            </w:r>
            <w:r>
              <w:fldChar w:fldCharType="begin"/>
            </w:r>
            <w:r>
              <w:instrText xml:space="preserve"> HYPERLINK "mailto:bharonchristopher.candelaria@my.jru.edu" </w:instrText>
            </w:r>
            <w:r>
              <w:fldChar w:fldCharType="separate"/>
            </w:r>
            <w:r>
              <w:rPr>
                <w:rStyle w:val="14"/>
                <w:rFonts w:hint="default"/>
                <w:sz w:val="18"/>
                <w:szCs w:val="18"/>
                <w:lang w:val="en-PH"/>
              </w:rPr>
              <w:t>emjhaytheresa.tumulak</w:t>
            </w:r>
            <w:r>
              <w:rPr>
                <w:rStyle w:val="14"/>
                <w:sz w:val="18"/>
                <w:szCs w:val="18"/>
              </w:rPr>
              <w:t>@my.jru.edu</w:t>
            </w:r>
            <w:r>
              <w:rPr>
                <w:rStyle w:val="14"/>
                <w:sz w:val="18"/>
                <w:szCs w:val="18"/>
              </w:rPr>
              <w:fldChar w:fldCharType="end"/>
            </w:r>
          </w:p>
        </w:tc>
      </w:tr>
    </w:tbl>
    <w:p w14:paraId="07303633">
      <w:pPr>
        <w:jc w:val="both"/>
        <w:sectPr>
          <w:footerReference r:id="rId3" w:type="first"/>
          <w:pgSz w:w="11906" w:h="16838"/>
          <w:pgMar w:top="540" w:right="893" w:bottom="1440" w:left="893" w:header="720" w:footer="720" w:gutter="0"/>
          <w:cols w:space="720" w:num="1"/>
          <w:titlePg/>
          <w:docGrid w:linePitch="360" w:charSpace="0"/>
        </w:sectPr>
      </w:pPr>
    </w:p>
    <w:p w14:paraId="5438F85B">
      <w:pPr>
        <w:pStyle w:val="20"/>
        <w:spacing w:before="100" w:beforeAutospacing="1"/>
        <w:jc w:val="both"/>
        <w:rPr>
          <w:sz w:val="18"/>
          <w:szCs w:val="18"/>
        </w:rPr>
        <w:sectPr>
          <w:type w:val="continuous"/>
          <w:pgSz w:w="11906" w:h="16838"/>
          <w:pgMar w:top="450" w:right="893" w:bottom="1440" w:left="893" w:header="720" w:footer="720" w:gutter="0"/>
          <w:cols w:space="720" w:num="3"/>
          <w:docGrid w:linePitch="360" w:charSpace="0"/>
        </w:sectPr>
      </w:pPr>
    </w:p>
    <w:p w14:paraId="6EAB1D25">
      <w:pPr>
        <w:pStyle w:val="18"/>
        <w:rPr>
          <w:rFonts w:hint="default"/>
          <w:i/>
          <w:iCs/>
        </w:rPr>
      </w:pPr>
      <w:r>
        <w:rPr>
          <w:rFonts w:hint="default"/>
          <w:i/>
          <w:iCs/>
        </w:rPr>
        <w:t xml:space="preserve">Abstract— This is because this paper introduces a Taglig conscious system of interpreting product reviews under Philippine e-commerce. Our dataset is FiReCS 10,487 reviews of Filipino-English code-switched reviews ready to be analyzed in markets and a product-based subset of slide reviews. The strategy is a combination of three tasks within one workflow. First, overall sentiment, Transformers are fine-tuned and the encoder is XLM-RoBERTa and the prior is RoBERTa-tl and the results are compared to a TF-IDF with Logistic Regression baseline. Second, aspect-based sentiment analysis is completed by appending a token-classification head that identifies aspect spans of product quality, sizing and fit, delivery and courier, packaging, price or value, and seller communication and a polarity head that assigns positive, neutral, or negative sentiment to each aspect. Third, lightweight classifier uses the encoder version and simple stylometric features to generate deception or a low-quality score on the encoder representation to assist in bringing suspicious content to the human view. Measures of overall sentiment, aspect extraction, span-level and aspect-level are based on macro-F1 and accuracy, macro-F1 per aspect, and aspect-level polarity, and PR-AUC with precision at target recall measure deception. Higher macro-F1 than the linear baseline, stable performance on code-switched text, actionable aspect-level insights, and a practical signal to filter suspicious reviews are expected to be the result of the experiment and will facilitate safer and more reliable online marketplaces. </w:t>
      </w:r>
    </w:p>
    <w:p w14:paraId="310668C1">
      <w:pPr>
        <w:pStyle w:val="18"/>
        <w:rPr>
          <w:rFonts w:hint="default"/>
          <w:i/>
          <w:iCs/>
        </w:rPr>
      </w:pPr>
      <w:r>
        <w:rPr>
          <w:rFonts w:hint="default"/>
          <w:i/>
          <w:iCs/>
        </w:rPr>
        <w:t>Keywords— Taglish, code switching, sentiment analysis, aspect-based sentiment analysis, e-commerce, Philippines, XLMRoBERTa, RoBERTa-Tagalog, deceptive review detection, multilingual Transformers, FiReCS.</w:t>
      </w:r>
    </w:p>
    <w:p w14:paraId="1DD88353">
      <w:pPr>
        <w:pStyle w:val="2"/>
      </w:pPr>
      <w:r>
        <w:t>Introduction</w:t>
      </w:r>
    </w:p>
    <w:p w14:paraId="171B9204">
      <w:pPr>
        <w:spacing w:before="100" w:beforeAutospacing="1" w:after="100" w:afterAutospacing="1"/>
        <w:ind w:firstLine="288"/>
        <w:jc w:val="both"/>
        <w:rPr>
          <w:rFonts w:hint="default" w:eastAsia="Times New Roman"/>
          <w:lang w:val="en-PH"/>
        </w:rPr>
      </w:pPr>
      <w:r>
        <w:rPr>
          <w:rFonts w:hint="default" w:eastAsia="Times New Roman"/>
          <w:lang w:val="en-PH"/>
        </w:rPr>
        <w:t>The Philippine e-commerce sites depend on customer reviews which are usually written in Tagalog-English code-switching language containing local slangs, emojis, and marketplace lingo. Misreading These reviews are often misread by tools which are largely trained on monolingual English and fail to provide useful concerns which buyers and sellers are often interested in e.g. delivery speed, quality of packaging, size and fit, price to value and communication with the seller. The recent Taglish datasets and benchmarks not only affirm the general occurrence of the code-switching but also the challenge it presents to generic pipelines, but also indicate that multilingual Transformer models are better able to capture the mixed language signal than the traditional ones [1], [2]. Concurrently, the development of bad and fake reviews destroys trust, moderation and damages small merchants whose existence relies on honest feedback to enhance service [3].</w:t>
      </w:r>
    </w:p>
    <w:p w14:paraId="1F08A1CC">
      <w:pPr>
        <w:spacing w:before="100" w:beforeAutospacing="1" w:after="100" w:afterAutospacing="1"/>
        <w:ind w:firstLine="288"/>
        <w:jc w:val="both"/>
        <w:rPr>
          <w:rFonts w:hint="default" w:eastAsia="Times New Roman"/>
          <w:lang w:val="en-PH"/>
        </w:rPr>
      </w:pPr>
      <w:r>
        <w:rPr>
          <w:rFonts w:hint="default" w:eastAsia="Times New Roman"/>
          <w:lang w:val="en-PH"/>
        </w:rPr>
        <w:t>The United Nations established 17 interrelated Sustainable Development Goals (SDGs), or Global Goals, as a universal call to action promoting environmental sustainability to solve global challenges such as poverty, environmental degradation, gender equality, and inequality, in turn achieving a better world by the year 2030.</w:t>
      </w:r>
    </w:p>
    <w:p w14:paraId="760877E4">
      <w:pPr>
        <w:spacing w:before="100" w:beforeAutospacing="1" w:after="100" w:afterAutospacing="1"/>
        <w:ind w:firstLine="288"/>
        <w:jc w:val="both"/>
        <w:rPr>
          <w:rFonts w:hint="default" w:eastAsia="Times New Roman"/>
          <w:lang w:val="en-PH"/>
        </w:rPr>
      </w:pPr>
      <w:r>
        <w:rPr>
          <w:rFonts w:ascii="SimSun" w:hAnsi="SimSun" w:eastAsia="SimSun" w:cs="SimSun"/>
          <w:sz w:val="24"/>
          <w:szCs w:val="24"/>
        </w:rPr>
        <w:drawing>
          <wp:inline distT="0" distB="0" distL="114300" distR="114300">
            <wp:extent cx="3086100" cy="1672590"/>
            <wp:effectExtent l="0" t="0" r="7620" b="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5"/>
                    <a:stretch>
                      <a:fillRect/>
                    </a:stretch>
                  </pic:blipFill>
                  <pic:spPr>
                    <a:xfrm>
                      <a:off x="0" y="0"/>
                      <a:ext cx="3086100" cy="1672590"/>
                    </a:xfrm>
                    <a:prstGeom prst="rect">
                      <a:avLst/>
                    </a:prstGeom>
                    <a:noFill/>
                    <a:ln w="9525">
                      <a:noFill/>
                    </a:ln>
                  </pic:spPr>
                </pic:pic>
              </a:graphicData>
            </a:graphic>
          </wp:inline>
        </w:drawing>
      </w:r>
    </w:p>
    <w:p w14:paraId="5A745F67">
      <w:pPr>
        <w:spacing w:before="100" w:beforeAutospacing="1" w:after="100" w:afterAutospacing="1"/>
        <w:ind w:firstLine="288"/>
        <w:jc w:val="center"/>
        <w:rPr>
          <w:rFonts w:hint="default" w:eastAsia="Times New Roman"/>
          <w:i/>
          <w:iCs/>
          <w:lang w:val="en-PH"/>
        </w:rPr>
      </w:pPr>
      <w:r>
        <w:rPr>
          <w:rFonts w:hint="default" w:eastAsia="Times New Roman"/>
          <w:i/>
          <w:iCs/>
          <w:lang w:val="en-PH"/>
        </w:rPr>
        <w:t>Figure 1. Sustainable Development Goals 17</w:t>
      </w:r>
    </w:p>
    <w:p w14:paraId="5D73C122">
      <w:pPr>
        <w:spacing w:before="100" w:beforeAutospacing="1" w:after="100" w:afterAutospacing="1"/>
        <w:ind w:firstLine="288"/>
        <w:jc w:val="both"/>
        <w:rPr>
          <w:rFonts w:hint="default" w:eastAsia="Times New Roman"/>
          <w:lang w:val="en-PH"/>
        </w:rPr>
      </w:pPr>
      <w:r>
        <w:rPr>
          <w:rFonts w:hint="default" w:eastAsia="Times New Roman"/>
          <w:lang w:val="en-PH"/>
        </w:rPr>
        <w:t>The project is relevant to Goal 17: Partnerships for the Goals, through explicit contributions to cooperation, capacity, and data quality for Taglish NLP resources and tools in local languages specific to e-commerce in the Philippines. There are primary synergies with Target 17.6 (knowledge sharing and cooperation to access science, technology and innovation) via open models, code, and reproducible pipelines; Target 17.8 (to strengthen science, technology and innovation capacity) via training materials, dataset and model documentation, and upskilling students and staff; Target 17.9 (to support SDG capacity in developing countries) by developing responsible NLP resources to support national plans for digital commerce; Target 17.g (to enhance the global partnership for sustainable development) by coordinating stakeholders through universities, platforms, micro, small, and medium enterprises (MSMEs), and public organizations; Target 17.h (to encourage effective partnerships) by using participatory protocols to facilitate annotation, evaluation, and piloting deployment; and Target 17.i (to enhance the availability of reliable data) by curating privacy preserving disaggregated review data with aspect labels and language mix indicators. There is secondary alignment with Target 17.j regarding templates to measure project data for aspects alongside platform aggregates. Targets related to taxation, official development assistance, debt, trade, and macroeconomic stability (17.1-17.5, 17.a-17.d) are acknowledged as important to, but outside of the remit of the project operationally. [4]-[6].</w:t>
      </w:r>
    </w:p>
    <w:p w14:paraId="55D1FA59">
      <w:pPr>
        <w:spacing w:before="100" w:beforeAutospacing="1" w:after="100" w:afterAutospacing="1"/>
        <w:ind w:firstLine="288"/>
        <w:jc w:val="both"/>
        <w:rPr>
          <w:rFonts w:hint="default" w:eastAsia="Times New Roman"/>
          <w:lang w:val="en-PH"/>
        </w:rPr>
      </w:pPr>
      <w:r>
        <w:rPr>
          <w:rFonts w:hint="default" w:eastAsia="Times New Roman"/>
          <w:lang w:val="en-PH"/>
        </w:rPr>
        <w:t>This is an important challenge to Natural Language Processing as it indicates an ongoing shortcoming in resources and practices in low-resource, code-switched environments. Multilingual Transformers Fine-tuned Multilingual Multilingual Transformers have been reported to achieve high accuracy on overall sentiment, which implies that language-sensitive encoders are required with Taglish text and that general-purpose lexicons are inadequate [1]. Extended study of Tagalog-English code-switching characterizes usage behaviour that encourages uncomplicated yet critical preprocessing options, such as regularizing repeated letters and knowledge of language mix, which may stabilize downstream models [2]. To the social community, enhanced analysis allows more informed buying, more transparent feedback connections to micro and small enterprises, and enhanced security to customers in the event of indicators of manipulation [3]. The implementation of this work will engage multi-stakeholder partnerships for data access, annotation, and evaluation to allow the work to support sustainable impact, local relevance, and SDG 17 17.6, 17.8, 17.9, 17.g, 17.h, 17.i, with proposed indicators aligned to 17.j.</w:t>
      </w:r>
    </w:p>
    <w:p w14:paraId="515EF517">
      <w:pPr>
        <w:spacing w:before="100" w:beforeAutospacing="1" w:after="100" w:afterAutospacing="1"/>
        <w:jc w:val="both"/>
        <w:rPr>
          <w:rFonts w:hint="default" w:eastAsia="Times New Roman"/>
          <w:lang w:val="en-PH"/>
        </w:rPr>
      </w:pPr>
      <w:r>
        <w:drawing>
          <wp:inline distT="0" distB="0" distL="114300" distR="114300">
            <wp:extent cx="3082290" cy="434975"/>
            <wp:effectExtent l="0" t="0" r="11430" b="698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6"/>
                    <a:stretch>
                      <a:fillRect/>
                    </a:stretch>
                  </pic:blipFill>
                  <pic:spPr>
                    <a:xfrm>
                      <a:off x="0" y="0"/>
                      <a:ext cx="3082290" cy="434975"/>
                    </a:xfrm>
                    <a:prstGeom prst="rect">
                      <a:avLst/>
                    </a:prstGeom>
                    <a:noFill/>
                    <a:ln>
                      <a:noFill/>
                    </a:ln>
                  </pic:spPr>
                </pic:pic>
              </a:graphicData>
            </a:graphic>
          </wp:inline>
        </w:drawing>
      </w:r>
    </w:p>
    <w:p w14:paraId="51724083">
      <w:pPr>
        <w:spacing w:before="100" w:beforeAutospacing="1" w:after="100" w:afterAutospacing="1"/>
        <w:ind w:firstLine="288"/>
        <w:jc w:val="center"/>
        <w:rPr>
          <w:rFonts w:hint="default" w:eastAsia="Times New Roman"/>
          <w:i/>
          <w:iCs/>
          <w:lang w:val="en-PH"/>
        </w:rPr>
      </w:pPr>
      <w:r>
        <w:rPr>
          <w:rFonts w:hint="default" w:eastAsia="Times New Roman"/>
          <w:i/>
          <w:iCs/>
          <w:lang w:val="en-PH"/>
        </w:rPr>
        <w:t>Figure 2. Partnerships for the Goals</w:t>
      </w:r>
    </w:p>
    <w:p w14:paraId="2F00CA99">
      <w:pPr>
        <w:spacing w:before="100" w:beforeAutospacing="1" w:after="100" w:afterAutospacing="1"/>
        <w:ind w:firstLine="288"/>
        <w:jc w:val="both"/>
        <w:rPr>
          <w:rFonts w:hint="default" w:eastAsia="Times New Roman"/>
          <w:lang w:val="en-PH"/>
        </w:rPr>
      </w:pPr>
      <w:r>
        <w:rPr>
          <w:rFonts w:hint="default" w:eastAsia="Times New Roman"/>
          <w:lang w:val="en-PH"/>
        </w:rPr>
        <w:t>The domain chosen is e-commerce, and the place is the Philippines, where remote shopping has grown rapidly and where the marketplace involvement of MSMEs has been a political goal. The government promoted the use of e-commerce with the e-commerce roadmap of the Department of Trade and Industry and its focus on digitization, logistics integration, and additive growth among sellers increases the significance of trustworthy review intelligence in the operations and consumer protection [12], [14]. External market analysis also indicates the case of continued growth in the field of e-commerce in the Philippines in 2021-2025 due to the high level of internet penetration and platform usage, which is why a more accurate interpretation of Taglish reviews at the scale is necessary [13], [14]. Here, noisy review text can be directly transformed into aspect-level signals via noise-sensitive models to guide pricing, fulfillment and service decisions related to local shops and platforms.</w:t>
      </w:r>
    </w:p>
    <w:p w14:paraId="09D4E027">
      <w:pPr>
        <w:spacing w:before="100" w:beforeAutospacing="1" w:after="100" w:afterAutospacing="1"/>
        <w:ind w:firstLine="288"/>
        <w:jc w:val="both"/>
        <w:rPr>
          <w:rFonts w:hint="default" w:eastAsia="Times New Roman"/>
          <w:lang w:val="en-PH"/>
        </w:rPr>
      </w:pPr>
      <w:r>
        <w:rPr>
          <w:rFonts w:hint="default" w:eastAsia="Times New Roman"/>
          <w:lang w:val="en-PH"/>
        </w:rPr>
        <w:t>Current solutions to Philippine reviews are primarily based on either monolingual lexicon solutions or TF-IDF and linear classifiers, which only give rough polarity and tend to read Taglish incorrectly. The current literature demonstrates that multilingual Transformers are more successful in Trans-Filipino-English reviews and that they nevertheless focus on overall sentiment instead of actionable and aspect-based discoveries [1]. This project is better than the existing methods because it employs XLM-RoBERTa on overall sentiment and shared encoder on aspect extraction and per-aspect polarity [5], evaluating a locally trained RoBERTa-tl as an extra prior on Tagalog tokens [6], and an aspect-based structure such that outputs directly correspond to e-commerce issues like delivery, packaging, sizing, price or value, and seller communication [7], [11]. In addition, TF-IDF + Logistic Regression is used as a transparent baseline to compare classical text classification with Transformer-based architectures.</w:t>
      </w:r>
    </w:p>
    <w:p w14:paraId="5381DD29">
      <w:pPr>
        <w:spacing w:before="100" w:beforeAutospacing="1" w:after="100" w:afterAutospacing="1"/>
        <w:ind w:firstLine="288"/>
        <w:jc w:val="both"/>
        <w:rPr>
          <w:rFonts w:hint="default" w:eastAsia="Times New Roman"/>
          <w:lang w:val="en-PH"/>
        </w:rPr>
      </w:pPr>
      <w:r>
        <w:rPr>
          <w:rFonts w:hint="default" w:eastAsia="Times New Roman"/>
          <w:lang w:val="en-PH"/>
        </w:rPr>
        <w:t>Furthermore, the experiment logs also included the fine-tuning and evaluation of additional pretrained models such as ClinicalBERT and DistilBERT, to explore domain and efficiency trade-offs in multilingual code-switched sentiment analysis. ClinicalBERT, derived from BERT architecture with domain-specific fine-tuning [16], was adapted for Taglish review sentiment to test contextual comprehension across specialized corpora, while DistilBERT, a compressed Transformer model [17], provided faster inference with minimal performance loss during training. These models were optimized and compared using macro-F1 and PR-AUC metrics to ensure that performance gains were attributed to language representation improvements rather than dataset bias [18].</w:t>
      </w:r>
    </w:p>
    <w:p w14:paraId="1E573ADD">
      <w:pPr>
        <w:spacing w:before="100" w:beforeAutospacing="1" w:after="100" w:afterAutospacing="1"/>
        <w:ind w:firstLine="288"/>
        <w:jc w:val="both"/>
        <w:rPr>
          <w:rFonts w:eastAsia="Times New Roman"/>
          <w:lang w:val="en-PH"/>
        </w:rPr>
      </w:pPr>
      <w:r>
        <w:rPr>
          <w:rFonts w:hint="default" w:eastAsia="Times New Roman"/>
          <w:lang w:val="en-PH"/>
        </w:rPr>
        <w:t>To solve the trust and safety issue, a deception signal of lightweight classifier will touch suspicious or templated reviews and will be used in conjunction with sentiment models [3]. It is aimed at transforming Taglish reviews with noise into accurate aspect-level insights and can help platforms protect users and promote more just online marketplaces [1]-[9], [11]-[14].</w:t>
      </w:r>
      <w:r>
        <w:rPr>
          <w:rFonts w:eastAsia="Times New Roman"/>
          <w:lang w:val="en-PH"/>
        </w:rPr>
        <w:t>.</w:t>
      </w:r>
    </w:p>
    <w:p w14:paraId="23BA5EFD">
      <w:pPr>
        <w:pStyle w:val="2"/>
      </w:pPr>
      <w:r>
        <w:t>Methodology</w:t>
      </w:r>
    </w:p>
    <w:p w14:paraId="47C4DFA9">
      <w:pPr>
        <w:pStyle w:val="3"/>
        <w:jc w:val="both"/>
        <w:rPr>
          <w:rFonts w:hint="default" w:eastAsia="Times New Roman"/>
          <w:lang w:val="en-PH"/>
        </w:rPr>
      </w:pPr>
      <w:r>
        <w:rPr>
          <w:rFonts w:hint="default"/>
          <w:lang w:val="en-PH"/>
        </w:rPr>
        <w:t>Dataset</w:t>
      </w:r>
    </w:p>
    <w:p w14:paraId="62C88281">
      <w:pPr>
        <w:spacing w:before="100" w:beforeAutospacing="1" w:after="100" w:afterAutospacing="1"/>
        <w:ind w:firstLine="288"/>
        <w:jc w:val="both"/>
        <w:rPr>
          <w:rFonts w:hint="default" w:eastAsia="Times New Roman"/>
          <w:lang w:val="en-PH"/>
        </w:rPr>
      </w:pPr>
      <w:r>
        <w:rPr>
          <w:rFonts w:hint="default" w:eastAsia="Times New Roman"/>
          <w:lang w:val="en-PH"/>
        </w:rPr>
        <w:t>The study utilized the FiReCS (Filipino–English Code-Switched Reviews Dataset) developed by C. J. Cosme [15]. The dataset contains 10,487 publicly available product and service reviews that are written in Tagalog-English code-switched text, reflecting real-world linguistic patterns in Philippine e-commerce platforms. Each review is annotated with a sentiment label—positive, neutral, or negative—and was curated to support multilingual and code-switching natural language processing (NLP) research.</w:t>
      </w:r>
    </w:p>
    <w:p w14:paraId="4B2BE5F6">
      <w:pPr>
        <w:spacing w:before="100" w:beforeAutospacing="1" w:after="100" w:afterAutospacing="1"/>
        <w:ind w:firstLine="288"/>
        <w:jc w:val="both"/>
        <w:rPr>
          <w:rFonts w:hint="default" w:eastAsia="Times New Roman"/>
          <w:lang w:val="en-PH"/>
        </w:rPr>
      </w:pPr>
      <w:r>
        <w:rPr>
          <w:rFonts w:hint="default" w:eastAsia="Times New Roman"/>
          <w:lang w:val="en-PH"/>
        </w:rPr>
        <w:t>The data were sourced primarily from Shopee Philippines and Google Maps reviews, encompassing authentic consumer expressions that include local slang, emoticons, and spelling variations common to Filipino-English language mixing. Such characteristics make FiReCS a challenging yet representative corpus for sentiment and aspect-based analysis in low-resource multilingual contexts.</w:t>
      </w:r>
    </w:p>
    <w:p w14:paraId="640AE1B6">
      <w:pPr>
        <w:spacing w:before="100" w:beforeAutospacing="1" w:after="100" w:afterAutospacing="1"/>
        <w:ind w:firstLine="288"/>
        <w:jc w:val="both"/>
        <w:rPr>
          <w:rFonts w:hint="default" w:eastAsia="Times New Roman"/>
          <w:lang w:val="en-PH"/>
        </w:rPr>
      </w:pPr>
      <w:r>
        <w:rPr>
          <w:rFonts w:hint="default" w:eastAsia="Times New Roman"/>
          <w:lang w:val="en-PH"/>
        </w:rPr>
        <w:t>The dataset’s structure consists of two main columns—review and label—where review stores the text data and label indicates sentiment polarity. Records with missing or duplicate entries were removed to maintain data integrity. All reviews underwent normalization during preprocessing, including case folding, removal of special HTML tags, reduction of repeated characters, and token-length control to ensure compatibility with Transformer-based tokenizers.</w:t>
      </w:r>
    </w:p>
    <w:p w14:paraId="652546EB">
      <w:pPr>
        <w:pStyle w:val="3"/>
        <w:jc w:val="both"/>
      </w:pPr>
      <w:r>
        <w:rPr>
          <w:rFonts w:hint="default"/>
          <w:lang w:val="en-PH"/>
        </w:rPr>
        <w:t>Preprocessing</w:t>
      </w:r>
    </w:p>
    <w:p w14:paraId="7043C98D">
      <w:pPr>
        <w:spacing w:before="100" w:beforeAutospacing="1" w:after="100" w:afterAutospacing="1"/>
        <w:ind w:firstLine="288"/>
        <w:jc w:val="both"/>
        <w:rPr>
          <w:rFonts w:hint="default" w:eastAsia="Times New Roman"/>
          <w:lang w:val="en-PH"/>
        </w:rPr>
      </w:pPr>
      <w:r>
        <w:rPr>
          <w:rFonts w:hint="default" w:eastAsia="Times New Roman"/>
          <w:lang w:val="en-PH"/>
        </w:rPr>
        <w:t>The preprocessing stage was an essential phase in preparing the FiReCS dataset for fine-tuning and evaluation. Several sequential operations were implemented in the Google Colab environment to ensure that the data were clean, balanced, and compatible with Transformer architectures.</w:t>
      </w:r>
    </w:p>
    <w:p w14:paraId="59EB7E0D">
      <w:pPr>
        <w:spacing w:before="100" w:beforeAutospacing="1" w:after="100" w:afterAutospacing="1"/>
        <w:ind w:firstLine="288"/>
        <w:jc w:val="both"/>
        <w:rPr>
          <w:rFonts w:hint="default" w:eastAsia="Times New Roman"/>
          <w:lang w:val="en-PH"/>
        </w:rPr>
      </w:pPr>
      <w:r>
        <w:rPr>
          <w:rFonts w:hint="default" w:eastAsia="Times New Roman"/>
          <w:lang w:val="en-PH"/>
        </w:rPr>
        <w:t>The initial step involved importing the required Python libraries such as pandas, NumPy, scikit-learn, and Transformers from Hugging Face. The dataset file FiReCS.csv was loaded using pandas, and all column names were converted to lowercase for consistency. A validation check confirmed that the dataset contained two main columns, review and label, which corresponded to the input text and sentiment category. Records with missing, null, or incorrectly labeled entries were excluded to maintain dataset integrity. Duplicate reviews that appeared multiple times in the corpus were also removed to prevent bias in the model’s learning process.</w:t>
      </w:r>
    </w:p>
    <w:p w14:paraId="26A02625">
      <w:pPr>
        <w:spacing w:before="100" w:beforeAutospacing="1" w:after="100" w:afterAutospacing="1"/>
        <w:ind w:firstLine="288"/>
        <w:jc w:val="both"/>
        <w:rPr>
          <w:rFonts w:hint="default" w:eastAsia="Times New Roman"/>
          <w:lang w:val="en-PH"/>
        </w:rPr>
      </w:pPr>
      <w:r>
        <w:rPr>
          <w:rFonts w:hint="default" w:eastAsia="Times New Roman"/>
          <w:lang w:val="en-PH"/>
        </w:rPr>
        <w:t>After cleaning, the dataset was normalized to standardize the text structure. HTML tags, escape sequences, and unnecessary whitespace were deleted. Continuous repeated letters were shortened to a maximum of two consecutive characters to reduce exaggerated forms of expression while retaining semantic tone. Emojis, emoticons, and punctuation marks were preserved because these elements often indicate emotional context, which is important for sentiment classification. All text was converted to lowercase to unify the representation across reviews written in both Filipino and English.</w:t>
      </w:r>
    </w:p>
    <w:p w14:paraId="5D68B80B">
      <w:pPr>
        <w:spacing w:before="100" w:beforeAutospacing="1" w:after="100" w:afterAutospacing="1"/>
        <w:ind w:firstLine="288"/>
        <w:jc w:val="both"/>
        <w:rPr>
          <w:rFonts w:hint="default" w:eastAsia="Times New Roman"/>
          <w:lang w:val="en-PH"/>
        </w:rPr>
      </w:pPr>
      <w:r>
        <w:rPr>
          <w:rFonts w:hint="default" w:eastAsia="Times New Roman"/>
          <w:lang w:val="en-PH"/>
        </w:rPr>
        <w:t>Subsequently, tokenization was applied to transform raw text into numerical inputs suitable for Transformer models. The AutoTokenizer function from Hugging Face was utilized to automatically load the correct tokenizer corresponding to each pretrained model. For XLM-RoBERTa and RoBERTa-tl, the tokenization was performed using subword segmentation under the SentencePiece algorithm, which allows the model to handle mixed-language words efficiently. For ClinicalBERT and DistilBERT, the BERT WordPiece tokenizer was used. The tokenization step generated the input_ids and attention_mask tensors that indicate which tokens should be attended to by the model.</w:t>
      </w:r>
    </w:p>
    <w:p w14:paraId="692E61C1">
      <w:pPr>
        <w:spacing w:before="100" w:beforeAutospacing="1" w:after="100" w:afterAutospacing="1"/>
        <w:ind w:firstLine="288"/>
        <w:jc w:val="both"/>
        <w:rPr>
          <w:rFonts w:hint="default" w:eastAsia="Times New Roman"/>
          <w:lang w:val="en-PH"/>
        </w:rPr>
      </w:pPr>
      <w:r>
        <w:rPr>
          <w:rFonts w:hint="default" w:eastAsia="Times New Roman"/>
          <w:lang w:val="en-PH"/>
        </w:rPr>
        <w:t>To manage varying review lengths, each sequence was padded or truncated to a fixed length of 128 tokens, which balanced computational efficiency and information coverage. This standard length was determined based on exploratory analysis showing that most Taglish reviews contained fewer than 120 tokens. Reviews exceeding this limit were truncated from the end to maintain the beginning and middle phrases where opinion words typically occur.</w:t>
      </w:r>
    </w:p>
    <w:p w14:paraId="176B811D">
      <w:pPr>
        <w:spacing w:before="100" w:beforeAutospacing="1" w:after="100" w:afterAutospacing="1"/>
        <w:ind w:firstLine="288"/>
        <w:jc w:val="both"/>
        <w:rPr>
          <w:rFonts w:hint="default" w:eastAsia="Times New Roman"/>
          <w:lang w:val="en-PH"/>
        </w:rPr>
      </w:pPr>
      <w:r>
        <w:rPr>
          <w:rFonts w:hint="default" w:eastAsia="Times New Roman"/>
          <w:lang w:val="en-PH"/>
        </w:rPr>
        <w:t>The dataset was then divided into training (80 %), validation (10 %), and testing (10 %) subsets using the train_test_split function from scikit-learn with stratified sampling to maintain label balance across all splits. The same partition was consistently used across every model to ensure fair comparison during experiments. Data were subsequently converted into PyTorch Dataset objects for compatibility with the Hugging Face Trainer API.</w:t>
      </w:r>
    </w:p>
    <w:p w14:paraId="1CCE49D9">
      <w:pPr>
        <w:spacing w:before="100" w:beforeAutospacing="1" w:after="100" w:afterAutospacing="1"/>
        <w:ind w:firstLine="288"/>
        <w:jc w:val="both"/>
        <w:rPr>
          <w:rFonts w:hint="default" w:eastAsia="Times New Roman"/>
          <w:highlight w:val="none"/>
          <w:lang w:val="en-PH"/>
        </w:rPr>
      </w:pPr>
      <w:r>
        <w:rPr>
          <w:rFonts w:hint="default" w:eastAsia="Times New Roman"/>
          <w:lang w:val="en-PH"/>
        </w:rPr>
        <w:t>During preprocessing, random seeds were fixed to guarantee reproducibility of results. The preprocessing pipeline was executed once and cached to minimize repeated processing in later training sessions. The output of this stage was a fully tokenized and stratified dataset ready for input to the fine-tuning process.</w:t>
      </w:r>
    </w:p>
    <w:p w14:paraId="04ACE3CA">
      <w:pPr>
        <w:pStyle w:val="3"/>
        <w:jc w:val="both"/>
      </w:pPr>
      <w:r>
        <w:rPr>
          <w:rFonts w:hint="default"/>
          <w:lang w:val="en-PH"/>
        </w:rPr>
        <w:t>Models and Fine-Tuning</w:t>
      </w:r>
    </w:p>
    <w:p w14:paraId="5A61380F">
      <w:pPr>
        <w:spacing w:before="100" w:beforeAutospacing="1" w:after="100" w:afterAutospacing="1"/>
        <w:ind w:firstLine="288"/>
        <w:jc w:val="both"/>
        <w:rPr>
          <w:rFonts w:hint="default" w:eastAsia="Times New Roman"/>
          <w:lang w:val="en-PH"/>
        </w:rPr>
      </w:pPr>
      <w:r>
        <w:rPr>
          <w:rFonts w:hint="default" w:eastAsia="Times New Roman"/>
          <w:lang w:val="en-PH"/>
        </w:rPr>
        <w:t>The experiment used several pretrained Transformer architectures to determine which model could best understand Taglish product reviews from the FiReCS dataset. The fine-tuning process was executed in Google Colab using the Transformers, Datasets, and Accelerate libraries from Hugging Face. Each model was trained and evaluated under identical data splits and metric configurations to guarantee consistency.</w:t>
      </w:r>
    </w:p>
    <w:p w14:paraId="79DA16AD">
      <w:pPr>
        <w:spacing w:before="100" w:beforeAutospacing="1" w:after="100" w:afterAutospacing="1"/>
        <w:ind w:firstLine="288"/>
        <w:jc w:val="both"/>
        <w:rPr>
          <w:rFonts w:hint="default" w:eastAsia="Times New Roman"/>
          <w:lang w:val="en-PH"/>
        </w:rPr>
      </w:pPr>
      <w:r>
        <w:rPr>
          <w:rFonts w:hint="default" w:eastAsia="Times New Roman"/>
          <w:lang w:val="en-PH"/>
        </w:rPr>
        <w:t>The main multilingual model applied was XLM-RoBERTa Base, selected for its cross-lingual representation strength and ability to process both Filipino and English tokens through subword embeddings. The model was initialized using the AutoModelForSequenceClassification class with three output labels corresponding to positive, neutral, and negative sentiment. Tokenized inputs produced from the AutoTokenizer were passed to the model along with attention masks. Fine-tuning was managed through the Trainer class, which handled batching, gradient updates, and validation scoring automatically.</w:t>
      </w:r>
    </w:p>
    <w:p w14:paraId="6DA75E0E">
      <w:pPr>
        <w:spacing w:before="100" w:beforeAutospacing="1" w:after="100" w:afterAutospacing="1"/>
        <w:ind w:firstLine="288"/>
        <w:jc w:val="both"/>
        <w:rPr>
          <w:rFonts w:hint="default" w:eastAsia="Times New Roman"/>
          <w:lang w:val="en-PH"/>
        </w:rPr>
      </w:pPr>
      <w:r>
        <w:rPr>
          <w:rFonts w:hint="default" w:eastAsia="Times New Roman"/>
          <w:lang w:val="en-PH"/>
        </w:rPr>
        <w:t>A local language model, RoBERTa-tl, was also included to examine whether a Filipino-focused encoder could improve accuracy for Tagalog-dominant reviews. Its configuration followed the same setup as XLM-RoBERTa, differing only in tokenizer and pretrained weights. Both models were optimized using AdamW with linear warm-up and weight decay regularization. Early stopping was enabled based on macro F1-Score from the validation set to prevent overfitting.</w:t>
      </w:r>
    </w:p>
    <w:p w14:paraId="32408522">
      <w:pPr>
        <w:spacing w:before="100" w:beforeAutospacing="1" w:after="100" w:afterAutospacing="1"/>
        <w:ind w:firstLine="288"/>
        <w:jc w:val="both"/>
        <w:rPr>
          <w:rFonts w:hint="default" w:eastAsia="Times New Roman"/>
          <w:lang w:val="en-PH"/>
        </w:rPr>
      </w:pPr>
      <w:r>
        <w:rPr>
          <w:rFonts w:hint="default" w:eastAsia="Times New Roman"/>
          <w:lang w:val="en-PH"/>
        </w:rPr>
        <w:t>In addition to these multilingual and local variants, ClinicalBERT and DistilBERT were fine-tuned as part of the comparative experiments recorded in the log sheet. ClinicalBERT, derived from Bio_ClinicalBERT, was evaluated to observe how domain-adapted embeddings could generalize to opinion text. DistilBERT, a distilled version of BERT, was trained to reduce computation time and memory cost while maintaining comparable performance. Both were initialized through the same fine-tuning pipeline, using identical preprocessing, tokenizer setup, and evaluation metrics as the multilingual models.</w:t>
      </w:r>
    </w:p>
    <w:p w14:paraId="69271A39">
      <w:pPr>
        <w:spacing w:before="100" w:beforeAutospacing="1" w:after="100" w:afterAutospacing="1"/>
        <w:ind w:firstLine="288"/>
        <w:jc w:val="both"/>
        <w:rPr>
          <w:rFonts w:hint="default" w:eastAsia="Times New Roman"/>
          <w:lang w:val="en-PH"/>
        </w:rPr>
      </w:pPr>
      <w:r>
        <w:rPr>
          <w:rFonts w:hint="default" w:eastAsia="Times New Roman"/>
          <w:lang w:val="en-PH"/>
        </w:rPr>
        <w:t>A TF-IDF with Logistic Regression baseline was prepared to provide a reference for comparison with non-Transformer methods. The baseline used bag-of-words features extracted from the same FiReCS text and was trained using scikit-learn’s LogisticRegression classifier. The purpose of this baseline was to define the minimal expected accuracy and F1-Score that Transformer models should exceed.</w:t>
      </w:r>
    </w:p>
    <w:p w14:paraId="424058AA">
      <w:pPr>
        <w:spacing w:before="100" w:beforeAutospacing="1" w:after="100" w:afterAutospacing="1"/>
        <w:ind w:firstLine="288"/>
        <w:jc w:val="both"/>
        <w:rPr>
          <w:rFonts w:hint="default" w:eastAsia="Times New Roman"/>
          <w:lang w:val="en-PH"/>
        </w:rPr>
      </w:pPr>
      <w:r>
        <w:rPr>
          <w:rFonts w:hint="default" w:eastAsia="Times New Roman"/>
          <w:lang w:val="en-PH"/>
        </w:rPr>
        <w:t>Training arguments were defined using the TrainingArguments class, with parameters including an output directory for checkpoints, a per-device batch size between 16 and 32, a learning rate in the range of 2e-5 to 5e-5, and three to five epochs. The evaluation strategy was set to “steps” to trigger intermediate validation every 200 training steps. Logging steps were fixed at 50 to monitor progress in real time. Gradient accumulation and mixed-precision training (fp16) were enabled when GPU support was available to increase efficiency.</w:t>
      </w:r>
    </w:p>
    <w:p w14:paraId="1F096ADB">
      <w:pPr>
        <w:spacing w:before="100" w:beforeAutospacing="1" w:after="100" w:afterAutospacing="1"/>
        <w:ind w:firstLine="288"/>
        <w:jc w:val="both"/>
        <w:rPr>
          <w:rFonts w:hint="default" w:eastAsia="Times New Roman"/>
          <w:lang w:val="en-PH"/>
        </w:rPr>
      </w:pPr>
      <w:r>
        <w:rPr>
          <w:rFonts w:hint="default" w:eastAsia="Times New Roman"/>
          <w:lang w:val="en-PH"/>
        </w:rPr>
        <w:t>For each run, the Trainer produced metrics for training loss, evaluation loss, accuracy, precision, recall, and F1-Score. These values were automatically saved and later transcribed into the Excel experiment log. The fine-tuning process used the FiReCS training set for model optimization and the validation split for hyperparameter adjustment. After each experiment, the best checkpoint—determined by the highest F1-Score—was evaluated on the unseen test split.</w:t>
      </w:r>
    </w:p>
    <w:p w14:paraId="3EDCE5A1">
      <w:pPr>
        <w:spacing w:before="100" w:beforeAutospacing="1" w:after="100" w:afterAutospacing="1"/>
        <w:ind w:firstLine="288"/>
        <w:jc w:val="both"/>
        <w:rPr>
          <w:rFonts w:hint="default" w:eastAsia="Times New Roman"/>
          <w:lang w:val="en-PH"/>
        </w:rPr>
      </w:pPr>
      <w:r>
        <w:rPr>
          <w:rFonts w:hint="default" w:eastAsia="Times New Roman"/>
          <w:lang w:val="en-PH"/>
        </w:rPr>
        <w:t>The results recorded in the experiment log showed that all Transformer-based models outperformed the linear baseline, confirming the effectiveness of contextual encoders in handling code-switched Taglish data. XLM-RoBERTa achieved the most stable macro F1 performance across runs, while DistilBERT provided faster convergence with slightly lower accuracy. ClinicalBERT demonstrated strong contextual understanding but required longer training time. RoBERTa-tl produced competitive results on Tagalog-heavy samples, indicating that localized language priors can complement multilingual encoders.</w:t>
      </w:r>
    </w:p>
    <w:p w14:paraId="3B9BCA70">
      <w:pPr>
        <w:spacing w:before="100" w:beforeAutospacing="1" w:after="100" w:afterAutospacing="1"/>
        <w:ind w:firstLine="288"/>
        <w:jc w:val="both"/>
        <w:rPr>
          <w:rFonts w:hint="default" w:eastAsia="Times New Roman"/>
          <w:lang w:val="en-PH"/>
        </w:rPr>
      </w:pPr>
      <w:r>
        <w:rPr>
          <w:rFonts w:hint="default" w:eastAsia="Times New Roman"/>
          <w:lang w:val="en-PH"/>
        </w:rPr>
        <w:t>The fine-tuning pipeline concluded with model saving and inference testing. Each best model checkpoint was exported in both PyTorch and ONNX formats for future deployment and was validated by generating predictions on new review samples to confirm correct polarity classification.</w:t>
      </w:r>
    </w:p>
    <w:p w14:paraId="7218D9D4">
      <w:pPr>
        <w:pStyle w:val="3"/>
        <w:jc w:val="both"/>
      </w:pPr>
      <w:r>
        <w:rPr>
          <w:rFonts w:hint="default"/>
          <w:lang w:val="en-PH"/>
        </w:rPr>
        <w:t>Hyperparameters</w:t>
      </w:r>
    </w:p>
    <w:p w14:paraId="4D8A4C11">
      <w:pPr>
        <w:spacing w:before="100" w:beforeAutospacing="1" w:after="100" w:afterAutospacing="1"/>
        <w:ind w:firstLine="288"/>
        <w:jc w:val="both"/>
        <w:rPr>
          <w:rFonts w:hint="default" w:eastAsia="Times New Roman"/>
          <w:lang w:val="en-PH"/>
        </w:rPr>
      </w:pPr>
      <w:r>
        <w:rPr>
          <w:rFonts w:hint="default" w:eastAsia="Times New Roman"/>
          <w:lang w:val="en-PH"/>
        </w:rPr>
        <w:t>The hyperparameter search was divided into three tracks so each member focused on a distinct group of settings while using the same data splits and evaluation procedure. This parallel design kept trials organized and made it clear in the log sheet which changes drove performance differences.</w:t>
      </w:r>
    </w:p>
    <w:p w14:paraId="7B37558B">
      <w:pPr>
        <w:spacing w:before="100" w:beforeAutospacing="1" w:after="100" w:afterAutospacing="1"/>
        <w:ind w:firstLine="288"/>
        <w:jc w:val="both"/>
        <w:rPr>
          <w:rFonts w:hint="default" w:eastAsia="Times New Roman"/>
          <w:lang w:val="en-PH"/>
        </w:rPr>
      </w:pPr>
      <w:r>
        <w:rPr>
          <w:rFonts w:hint="default" w:eastAsia="Times New Roman"/>
          <w:lang w:val="en-PH"/>
        </w:rPr>
        <w:t>The first track covered optimization and regularization. Settings included the learning rate, weight decay, the chosen optimizer, and the length of warm-up. Stable training was achieved by pairing a standard Transformer optimizer with a gradual warm-up and modest regularization. This track established a balanced update pace that avoided both slow learning and overfitting.</w:t>
      </w:r>
    </w:p>
    <w:p w14:paraId="4CAACAC1">
      <w:pPr>
        <w:spacing w:before="100" w:beforeAutospacing="1" w:after="100" w:afterAutospacing="1"/>
        <w:ind w:firstLine="288"/>
        <w:jc w:val="both"/>
        <w:rPr>
          <w:rFonts w:hint="default" w:eastAsia="Times New Roman"/>
          <w:lang w:val="en-PH"/>
        </w:rPr>
      </w:pPr>
      <w:r>
        <w:rPr>
          <w:rFonts w:hint="default" w:eastAsia="Times New Roman"/>
          <w:lang w:val="en-PH"/>
        </w:rPr>
        <w:t>The second track focused on capacity and batching. Settings included batch size, gradient accumulation, sequence length, mixed-precision on supported GPUs, and gradient clipping. This track emphasized smooth loss curves, consistent memory use, and efficient step time. A compact sequence length was maintained to preserve most review content while keeping training responsive.</w:t>
      </w:r>
    </w:p>
    <w:p w14:paraId="3841FB97">
      <w:pPr>
        <w:spacing w:before="100" w:beforeAutospacing="1" w:after="100" w:afterAutospacing="1"/>
        <w:ind w:firstLine="288"/>
        <w:jc w:val="both"/>
        <w:rPr>
          <w:rFonts w:hint="default" w:eastAsia="Times New Roman"/>
          <w:lang w:val="en-PH"/>
        </w:rPr>
      </w:pPr>
      <w:r>
        <w:rPr>
          <w:rFonts w:hint="default" w:eastAsia="Times New Roman"/>
          <w:lang w:val="en-PH"/>
        </w:rPr>
        <w:t>The third track handled the training schedule and checkpoint behavior. Settings included the number of epochs, how often to evaluate and save, early stopping, and dropout on the classification head. This track prioritized timely validation feedback and automatic stopping once validation scores no longer improved, which reduced wasted runs and protected against overfitting.</w:t>
      </w:r>
    </w:p>
    <w:p w14:paraId="4B35BFC6">
      <w:pPr>
        <w:spacing w:before="100" w:beforeAutospacing="1" w:after="100" w:afterAutospacing="1"/>
        <w:ind w:firstLine="288"/>
        <w:jc w:val="both"/>
        <w:rPr>
          <w:rFonts w:hint="default" w:eastAsia="Times New Roman"/>
          <w:lang w:val="en-PH"/>
        </w:rPr>
      </w:pPr>
      <w:r>
        <w:rPr>
          <w:rFonts w:hint="default" w:eastAsia="Times New Roman"/>
          <w:lang w:val="en-PH"/>
        </w:rPr>
        <w:t>After consolidating results from all tracks, the final configuration reflected the most stable choices from each area: a steady optimization schedule with regularization, a conservative batching setup with mixed-precision and clipping, and a training schedule with periodic evaluation and early stopping. Under this setup, XLM-RoBERTa produced the most consistent macro F1 in the logs, RoBERTa-tl remained competitive on Tagalog-dominant inputs, DistilBERT converged more quickly with a small accuracy trade-off, and ClinicalBERT benefited from a slightly longer schedule to reach peak scores. The split-track process simplified coordination and linked observable gains to specific hyperparameter groups.</w:t>
      </w:r>
    </w:p>
    <w:p w14:paraId="12D8C955">
      <w:pPr>
        <w:pStyle w:val="3"/>
        <w:bidi w:val="0"/>
        <w:ind w:left="288" w:leftChars="0" w:hanging="288" w:firstLineChars="0"/>
        <w:rPr>
          <w:rFonts w:hint="default"/>
          <w:lang w:val="en-PH"/>
        </w:rPr>
      </w:pPr>
      <w:r>
        <w:rPr>
          <w:rFonts w:hint="default"/>
          <w:lang w:val="en-PH"/>
        </w:rPr>
        <w:t>Evaluation</w:t>
      </w:r>
    </w:p>
    <w:p w14:paraId="33B1F4A0">
      <w:pPr>
        <w:spacing w:before="100" w:beforeAutospacing="1" w:after="100" w:afterAutospacing="1"/>
        <w:ind w:firstLine="288"/>
        <w:jc w:val="both"/>
        <w:rPr>
          <w:rFonts w:hint="default" w:eastAsia="Times New Roman"/>
          <w:lang w:val="en-PH"/>
        </w:rPr>
      </w:pPr>
      <w:r>
        <w:rPr>
          <w:rFonts w:hint="default" w:eastAsia="Times New Roman"/>
          <w:lang w:val="en-PH"/>
        </w:rPr>
        <w:t>Model quality was measured on a held-out test split after model selection on the validation split. The same train–validation–test partitions were used for all models to keep comparisons fair. During training, validation was triggered at fixed step intervals, and early stopping was applied when the validation score no longer improved. The best checkpoint for each run was chosen using the highest macro F1-Score on the validation split and then evaluated once on the test split.</w:t>
      </w:r>
    </w:p>
    <w:p w14:paraId="5C424BE8">
      <w:pPr>
        <w:spacing w:before="100" w:beforeAutospacing="1" w:after="100" w:afterAutospacing="1"/>
        <w:ind w:firstLine="288"/>
        <w:jc w:val="both"/>
        <w:rPr>
          <w:rFonts w:hint="default" w:eastAsia="Times New Roman"/>
          <w:lang w:val="en-PH"/>
        </w:rPr>
      </w:pPr>
      <w:r>
        <w:rPr>
          <w:rFonts w:hint="default" w:eastAsia="Times New Roman"/>
          <w:lang w:val="en-PH"/>
        </w:rPr>
        <w:t>The main metric was the macro F1-Score to balance performance across positive, neutral, and negative classes. Accuracy, precision, and recall were also computed to provide a complete view of results. Confusion matrices were reviewed to identify frequent misclassifications, such as swaps between adjacent sentiments. For experiments that produced aspect outputs, macro F1 per aspect was used to check consistency across product quality, sizing and fit, delivery and courier, packaging, price or value, and seller communication. For experiments that included the deception signal, the Precision–Recall Area Under the Curve was used to reflect screening quality under class imbalance.</w:t>
      </w:r>
    </w:p>
    <w:p w14:paraId="6A6CC1B8">
      <w:pPr>
        <w:spacing w:before="100" w:beforeAutospacing="1" w:after="100" w:afterAutospacing="1"/>
        <w:ind w:firstLine="288"/>
        <w:jc w:val="both"/>
        <w:rPr>
          <w:rFonts w:eastAsia="Times New Roman"/>
          <w:sz w:val="16"/>
          <w:szCs w:val="16"/>
          <w:lang w:val="en-PH"/>
        </w:rPr>
      </w:pPr>
      <w:r>
        <w:rPr>
          <w:rFonts w:hint="default" w:eastAsia="Times New Roman"/>
          <w:lang w:val="en-PH"/>
        </w:rPr>
        <w:t>All metrics were generated with the same preprocessing and tokenizer settings to avoid pipeline drift. Random seeds were fixed to support repeatable scoring. Results for each checkpoint were exported directly from the training logs and recorded in the experiment sheet. Final comparisons were made against the TF-IDF with Logistic Regression baseline to show the gain from contextual models. Error review focused on short reviews with limited context, highly code-switched phrases, and emoji-heavy entries, which helped guide the choice of the final configuration described in the hyperparameters section.</w:t>
      </w:r>
    </w:p>
    <w:p w14:paraId="6A7687AF">
      <w:pPr>
        <w:pStyle w:val="2"/>
      </w:pPr>
      <w:r>
        <w:t>Results</w:t>
      </w:r>
    </w:p>
    <w:p w14:paraId="3C114747">
      <w:pPr>
        <w:spacing w:before="100" w:beforeAutospacing="1" w:after="100" w:afterAutospacing="1"/>
        <w:ind w:firstLine="288"/>
        <w:jc w:val="both"/>
        <w:rPr>
          <w:rFonts w:hint="default" w:eastAsia="Times New Roman"/>
          <w:lang w:val="en-PH"/>
        </w:rPr>
      </w:pPr>
      <w:r>
        <w:rPr>
          <w:rFonts w:hint="default" w:eastAsia="Times New Roman"/>
          <w:lang w:val="en-PH"/>
        </w:rPr>
        <w:t>This section presents the recorded performance of the fine-tuned models using the FiReCS dataset. Each model was trained and evaluated under the same preprocessing, tokenizer, and evaluation setup. The key metrics reported were accuracy, precision, recall, and macro F1-Score, all derived from the validation and test splits.</w:t>
      </w:r>
    </w:p>
    <w:p w14:paraId="486BD2B6">
      <w:pPr>
        <w:pStyle w:val="3"/>
        <w:jc w:val="both"/>
        <w:rPr>
          <w:rFonts w:hint="default" w:eastAsia="Times New Roman"/>
          <w:lang w:val="en-PH"/>
        </w:rPr>
      </w:pPr>
      <w:r>
        <w:rPr>
          <w:rFonts w:hint="default"/>
          <w:lang w:val="en-PH"/>
        </w:rPr>
        <w:t>XLM-RoBERTa</w:t>
      </w:r>
    </w:p>
    <w:p w14:paraId="3F72C275">
      <w:pPr>
        <w:spacing w:before="100" w:beforeAutospacing="1" w:after="100" w:afterAutospacing="1"/>
        <w:ind w:firstLine="288"/>
        <w:jc w:val="both"/>
        <w:rPr>
          <w:rFonts w:hint="default" w:eastAsia="Times New Roman"/>
          <w:lang w:val="en-PH"/>
        </w:rPr>
      </w:pPr>
      <w:r>
        <w:rPr>
          <w:rFonts w:hint="default" w:eastAsia="Times New Roman"/>
          <w:lang w:val="en-PH"/>
        </w:rPr>
        <w:t>The XLM-RoBERTa model achieved the highest overall performance among all tested models. It showed stable convergence within three epochs and produced consistent results across repeated runs. Based on the experiment log, this model reached the best macro F1-Score and accuracy under the configuration that used a moderate learning rate, batch size of sixteen, and early stopping after the third epoch.</w:t>
      </w:r>
    </w:p>
    <w:p w14:paraId="3B323FC9">
      <w:pPr>
        <w:spacing w:before="100" w:beforeAutospacing="1" w:after="100" w:afterAutospacing="1"/>
        <w:ind w:firstLine="288"/>
        <w:jc w:val="both"/>
        <w:rPr>
          <w:rFonts w:hint="default" w:eastAsia="Times New Roman"/>
          <w:lang w:val="en-PH"/>
        </w:rPr>
      </w:pPr>
      <w:r>
        <w:rPr>
          <w:rFonts w:hint="default" w:eastAsia="Times New Roman"/>
          <w:lang w:val="en-PH"/>
        </w:rPr>
        <w:t>Training and validation loss curves indicated smooth progression with minimal fluctuation. The recorded validation results demonstrated balanced precision and recall across sentiment classes, confirming stable learning behavior. Each logging step, fixed at one hundred, recorded the model’s loss and F1-Score during fine-tuning. The random seed value of forty-two ensured reproducible outcomes across runs.</w:t>
      </w:r>
    </w:p>
    <w:p w14:paraId="788AE7D2">
      <w:pPr>
        <w:pStyle w:val="3"/>
        <w:bidi w:val="0"/>
        <w:ind w:left="288" w:leftChars="0" w:hanging="288" w:firstLineChars="0"/>
        <w:rPr>
          <w:rFonts w:hint="default"/>
          <w:lang w:val="en-PH"/>
        </w:rPr>
      </w:pPr>
      <w:r>
        <w:rPr>
          <w:rFonts w:hint="default"/>
          <w:lang w:val="en-PH"/>
        </w:rPr>
        <w:t>RoBERTa-tl</w:t>
      </w:r>
    </w:p>
    <w:p w14:paraId="59363AF2">
      <w:pPr>
        <w:spacing w:before="100" w:beforeAutospacing="1" w:after="100" w:afterAutospacing="1"/>
        <w:ind w:firstLine="288"/>
        <w:jc w:val="both"/>
        <w:rPr>
          <w:rFonts w:hint="default" w:eastAsia="Times New Roman"/>
          <w:lang w:val="en-PH"/>
        </w:rPr>
      </w:pPr>
      <w:r>
        <w:rPr>
          <w:rFonts w:hint="default" w:eastAsia="Times New Roman"/>
          <w:lang w:val="en-PH"/>
        </w:rPr>
        <w:t>The RoBERTa-tl model, trained specifically on Filipino text, obtained slightly lower macro F1-Scores than XLM-RoBERTa but showed strong results for Tagalog-dominant reviews. It converged after approximately three epochs, with its validation F1-Score remaining consistent across different trials.</w:t>
      </w:r>
    </w:p>
    <w:p w14:paraId="7EBBB2C8">
      <w:pPr>
        <w:spacing w:before="100" w:beforeAutospacing="1" w:after="100" w:afterAutospacing="1"/>
        <w:ind w:firstLine="288"/>
        <w:jc w:val="both"/>
        <w:rPr>
          <w:rFonts w:hint="default" w:eastAsia="Times New Roman"/>
          <w:lang w:val="en-PH"/>
        </w:rPr>
      </w:pPr>
      <w:r>
        <w:rPr>
          <w:rFonts w:hint="default" w:eastAsia="Times New Roman"/>
          <w:lang w:val="en-PH"/>
        </w:rPr>
        <w:t>The experiment log showed that RoBERTa-tl maintained stable accuracy and precision under smaller learning rates. Validation results confirmed steady performance and reliable recall in mixed-language text, while training curves displayed gradual and consistent improvement until early stopping was triggered.</w:t>
      </w:r>
    </w:p>
    <w:p w14:paraId="29A028F2">
      <w:pPr>
        <w:pStyle w:val="3"/>
        <w:bidi w:val="0"/>
        <w:ind w:left="288" w:leftChars="0" w:hanging="288" w:firstLineChars="0"/>
        <w:rPr>
          <w:rFonts w:hint="default"/>
          <w:lang w:val="en-PH"/>
        </w:rPr>
      </w:pPr>
      <w:r>
        <w:rPr>
          <w:rFonts w:hint="default"/>
          <w:lang w:val="en-PH"/>
        </w:rPr>
        <w:t>TF-IDF with Logistic Regression</w:t>
      </w:r>
    </w:p>
    <w:p w14:paraId="44A061BC">
      <w:pPr>
        <w:spacing w:before="100" w:beforeAutospacing="1" w:after="100" w:afterAutospacing="1"/>
        <w:ind w:firstLine="288"/>
        <w:jc w:val="both"/>
        <w:rPr>
          <w:rFonts w:hint="default" w:eastAsia="Times New Roman"/>
          <w:lang w:val="en-PH"/>
        </w:rPr>
      </w:pPr>
      <w:r>
        <w:rPr>
          <w:rFonts w:hint="default" w:eastAsia="Times New Roman"/>
          <w:lang w:val="en-PH"/>
        </w:rPr>
        <w:t>The TF-IDF baseline served as the reference for comparison. It achieved the lowest accuracy and macro F1-Score among the evaluated models. Although the classifier detected general polarity cues, it failed to capture deeper contextual meaning in Taglish sentences. The validation results confirmed a large gap between the baseline and the Transformer-based models, highlighting the advantage of contextual embedding architectures for mixed-language sentiment analysis.</w:t>
      </w:r>
      <w:bookmarkStart w:id="0" w:name="_GoBack"/>
      <w:bookmarkEnd w:id="0"/>
    </w:p>
    <w:p w14:paraId="5254B890">
      <w:pPr>
        <w:pStyle w:val="3"/>
        <w:bidi w:val="0"/>
        <w:ind w:left="288" w:leftChars="0" w:hanging="288" w:firstLineChars="0"/>
        <w:rPr>
          <w:rFonts w:hint="default"/>
          <w:lang w:val="en-PH"/>
        </w:rPr>
      </w:pPr>
      <w:r>
        <w:rPr>
          <w:rFonts w:hint="default"/>
          <w:lang w:val="en-PH"/>
        </w:rPr>
        <w:t>Hyperparameter Results</w:t>
      </w:r>
    </w:p>
    <w:p w14:paraId="2DD26E15">
      <w:pPr>
        <w:spacing w:before="100" w:beforeAutospacing="1" w:after="100" w:afterAutospacing="1"/>
        <w:jc w:val="both"/>
        <w:rPr>
          <w:rFonts w:hint="default" w:eastAsia="Times New Roman"/>
          <w:lang w:val="en-PH"/>
        </w:rPr>
      </w:pPr>
      <w:r>
        <w:rPr>
          <w:rFonts w:hint="default" w:eastAsia="Times New Roman"/>
          <w:lang w:val="en-PH"/>
        </w:rPr>
        <w:t>Hyperparameter tuning was carried out through three coordinated sets of experiments focused on optimization rate, batch configuration, and training schedule. Each model was fine-tuned under these conditions, and the best performance metrics were recorded in the experiment log.</w:t>
      </w:r>
    </w:p>
    <w:p w14:paraId="5FE0A561">
      <w:pPr>
        <w:spacing w:before="100" w:beforeAutospacing="1" w:after="100" w:afterAutospacing="1"/>
        <w:jc w:val="both"/>
        <w:rPr>
          <w:rFonts w:hint="default" w:eastAsia="Times New Roman"/>
          <w:lang w:val="en-PH"/>
        </w:rPr>
      </w:pPr>
      <w:r>
        <w:rPr>
          <w:rFonts w:hint="default" w:eastAsia="Times New Roman"/>
          <w:lang w:val="en-PH"/>
        </w:rPr>
        <w:t>The optimization set covered the effect of different learning rates, where moderate rates produced the most stable macro F1-Scores. The batching set examined different batch sizes, showing that smaller batches produced smoother gradients. The schedule set tested multiple epoch counts and evaluation intervals, confirming that most models reached their highest F1-Scores after the third epoch.</w:t>
      </w:r>
    </w:p>
    <w:p w14:paraId="14683ECF">
      <w:pPr>
        <w:spacing w:before="100" w:beforeAutospacing="1" w:after="100" w:afterAutospacing="1"/>
        <w:jc w:val="both"/>
        <w:rPr>
          <w:rFonts w:hint="default"/>
          <w:i w:val="0"/>
          <w:iCs w:val="0"/>
          <w:sz w:val="18"/>
          <w:szCs w:val="18"/>
          <w:lang w:val="en-PH"/>
        </w:rPr>
      </w:pPr>
      <w:r>
        <w:rPr>
          <w:rFonts w:hint="default" w:eastAsia="Times New Roman"/>
          <w:lang w:val="en-PH"/>
        </w:rPr>
        <w:t>The final log entries summarized that XLM-RoBERTa achieved the best validation macro F1-Score, followed by RoBERTa-tl, while TF-IDF with Logistic Regression remained the baseline reference.</w:t>
      </w:r>
    </w:p>
    <w:p w14:paraId="0C469DA4">
      <w:pPr>
        <w:pStyle w:val="2"/>
      </w:pPr>
      <w:r>
        <w:t>discussion</w:t>
      </w:r>
    </w:p>
    <w:p w14:paraId="4CF22281">
      <w:pPr>
        <w:spacing w:before="100" w:beforeAutospacing="1" w:after="100" w:afterAutospacing="1"/>
        <w:ind w:firstLine="288"/>
        <w:jc w:val="both"/>
        <w:rPr>
          <w:rFonts w:hint="default" w:eastAsia="Times New Roman"/>
          <w:lang w:val="en-PH"/>
        </w:rPr>
      </w:pPr>
      <w:r>
        <w:rPr>
          <w:rFonts w:hint="default" w:eastAsia="Times New Roman"/>
          <w:lang w:val="en-PH"/>
        </w:rPr>
        <w:t>Results showed that XLM-RoBERTa produced the highest and most stable macro F1. This outcome aligned with the mixed-language nature of the FiReCS reviews where English and Filipino tokens appear in the same sentence. The multilingual encoder handled this setting well after the text cleaning, lowercasing, emoji retention, and 128-token length control. Validation summaries in the log indicated steady gains through epoch three, with early stopping preserving the best checkpoint. Fixed logging at every 100 steps and a constant seed value of 42 supported repeatable scores and clear traceability of runs. Compared to the baseline, XLM-RoBERTa kept higher recall on minority classes, which helped the macro F1 metric.</w:t>
      </w:r>
    </w:p>
    <w:p w14:paraId="207C861F">
      <w:pPr>
        <w:spacing w:before="100" w:beforeAutospacing="1" w:after="100" w:afterAutospacing="1"/>
        <w:ind w:firstLine="288"/>
        <w:jc w:val="both"/>
        <w:rPr>
          <w:rFonts w:hint="default" w:eastAsia="Times New Roman"/>
          <w:lang w:val="en-PH"/>
        </w:rPr>
      </w:pPr>
      <w:r>
        <w:rPr>
          <w:rFonts w:hint="default" w:eastAsia="Times New Roman"/>
          <w:lang w:val="en-PH"/>
        </w:rPr>
        <w:t>RoBERTa-tl ranked second and showed reliable scores on Tagalog-heavy inputs. This pattern suggested that a Filipino-focused pretraining helped when tokens and phrases were mostly Tagalog. However, overall macro F1 remained lower than the multilingual model, which benefited from broader coverage when sentences mixed languages more heavily. The TF-IDF with Logistic Regression baseline trailed both Transformer models. The baseline captured frequent words but did not account for context shifts, emoji cues, or cross-sentence hints that influenced sentiment labels in the logs. Hyperparameter trials confirmed that a moderate learning rate, batch size of 16, and three epochs delivered the most consistent results across both Transformers.</w:t>
      </w:r>
    </w:p>
    <w:p w14:paraId="6AF46115">
      <w:pPr>
        <w:pStyle w:val="2"/>
      </w:pPr>
      <w:r>
        <w:t>conclusion</w:t>
      </w:r>
    </w:p>
    <w:p w14:paraId="5CC337A1">
      <w:pPr>
        <w:spacing w:before="100" w:beforeAutospacing="1" w:after="100" w:afterAutospacing="1"/>
        <w:ind w:firstLine="288"/>
        <w:jc w:val="both"/>
        <w:rPr>
          <w:rFonts w:hint="default" w:eastAsia="Times New Roman"/>
          <w:lang w:val="en-PH"/>
        </w:rPr>
      </w:pPr>
      <w:r>
        <w:rPr>
          <w:rFonts w:hint="default" w:eastAsia="Times New Roman"/>
          <w:lang w:val="en-PH"/>
        </w:rPr>
        <w:t>The experiments confirmed that multilingual fine-tuning on XLM-RoBERTa is the most effective approach for Taglish sentiment in FiReCS, with RoBERTa-tl providing competitive results in Tagalog-dominant cases and TF-IDF serving as a lower bound. A simple and consistent setup that included careful preprocessing, moderate learning rate, compact batch size, and early stopping produced repeatable improvements that matched the patterns recorded in the experiment logs.</w:t>
      </w:r>
    </w:p>
    <w:p w14:paraId="31C71550">
      <w:pPr>
        <w:pStyle w:val="6"/>
      </w:pPr>
      <w:r>
        <w:t>References</w:t>
      </w:r>
    </w:p>
    <w:p w14:paraId="27503251">
      <w:pPr>
        <w:pStyle w:val="28"/>
        <w:numPr>
          <w:ilvl w:val="0"/>
          <w:numId w:val="0"/>
        </w:numPr>
        <w:ind w:leftChars="0"/>
        <w:rPr>
          <w:rFonts w:hint="default"/>
          <w:lang w:val="en-PH" w:eastAsia="en-PH"/>
        </w:rPr>
      </w:pPr>
    </w:p>
    <w:p w14:paraId="055B02BB">
      <w:pPr>
        <w:pStyle w:val="28"/>
        <w:rPr>
          <w:rFonts w:hint="default"/>
          <w:lang w:val="en-PH" w:eastAsia="en-PH"/>
        </w:rPr>
      </w:pPr>
      <w:r>
        <w:rPr>
          <w:rFonts w:hint="default"/>
          <w:lang w:val="en-PH" w:eastAsia="en-PH"/>
        </w:rPr>
        <w:t>C. J. Cosme and M. M. De Leon, “Sentiment Analysis of CodeSwitched Filipino-English Product and Service Reviews Using</w:t>
      </w:r>
      <w:r>
        <w:rPr>
          <w:rFonts w:hint="default"/>
          <w:lang w:val="en-US" w:eastAsia="en-PH"/>
        </w:rPr>
        <w:t xml:space="preserve"> </w:t>
      </w:r>
      <w:r>
        <w:rPr>
          <w:rFonts w:hint="default"/>
          <w:lang w:val="en-PH" w:eastAsia="en-PH"/>
        </w:rPr>
        <w:t>Transformers-Based Large Language Models,” 2024. Available:</w:t>
      </w:r>
      <w:r>
        <w:rPr>
          <w:rFonts w:hint="default"/>
          <w:lang w:val="en-US" w:eastAsia="en-PH"/>
        </w:rPr>
        <w:t xml:space="preserve"> </w:t>
      </w:r>
      <w:r>
        <w:rPr>
          <w:rFonts w:hint="default"/>
          <w:lang w:val="en-PH" w:eastAsia="en-PH"/>
        </w:rPr>
        <w:t>Archīum Ateneo.</w:t>
      </w:r>
    </w:p>
    <w:p w14:paraId="0C8D0A69">
      <w:pPr>
        <w:pStyle w:val="28"/>
        <w:rPr>
          <w:rFonts w:hint="default"/>
          <w:lang w:val="en-PH" w:eastAsia="en-PH"/>
        </w:rPr>
      </w:pPr>
      <w:r>
        <w:rPr>
          <w:rFonts w:hint="default"/>
          <w:lang w:val="en-PH" w:eastAsia="en-PH"/>
        </w:rPr>
        <w:t>M. Herrera, A. Aich, and N. Parde, “A Dataset for Investigating</w:t>
      </w:r>
      <w:r>
        <w:rPr>
          <w:rFonts w:hint="default"/>
          <w:lang w:val="en-US" w:eastAsia="en-PH"/>
        </w:rPr>
        <w:t xml:space="preserve"> </w:t>
      </w:r>
      <w:r>
        <w:rPr>
          <w:rFonts w:hint="default"/>
          <w:lang w:val="en-PH" w:eastAsia="en-PH"/>
        </w:rPr>
        <w:t>Tagalog-English Code-Switching,” in Proc. LREC, 2022.</w:t>
      </w:r>
    </w:p>
    <w:p w14:paraId="71A5028B">
      <w:pPr>
        <w:pStyle w:val="28"/>
        <w:rPr>
          <w:rFonts w:hint="default"/>
          <w:lang w:val="en-PH" w:eastAsia="en-PH"/>
        </w:rPr>
      </w:pPr>
      <w:r>
        <w:rPr>
          <w:rFonts w:hint="default"/>
          <w:lang w:val="en-PH" w:eastAsia="en-PH"/>
        </w:rPr>
        <w:t>H. Paul, R. Bansal, and M. Choudhury, “Fake review detection on</w:t>
      </w:r>
      <w:r>
        <w:rPr>
          <w:rFonts w:hint="default"/>
          <w:lang w:val="en-US" w:eastAsia="en-PH"/>
        </w:rPr>
        <w:t xml:space="preserve"> </w:t>
      </w:r>
      <w:r>
        <w:rPr>
          <w:rFonts w:hint="default"/>
          <w:lang w:val="en-PH" w:eastAsia="en-PH"/>
        </w:rPr>
        <w:t>online e-commerce platforms: A systematic literature review,” Data</w:t>
      </w:r>
      <w:r>
        <w:rPr>
          <w:rFonts w:hint="default"/>
          <w:lang w:val="en-US" w:eastAsia="en-PH"/>
        </w:rPr>
        <w:t xml:space="preserve"> </w:t>
      </w:r>
      <w:r>
        <w:rPr>
          <w:rFonts w:hint="default"/>
          <w:lang w:val="en-PH" w:eastAsia="en-PH"/>
        </w:rPr>
        <w:t>Mining and Knowledge Discovery, vol. 35, no. 6, pp. 2168–2211,</w:t>
      </w:r>
      <w:r>
        <w:rPr>
          <w:rFonts w:hint="default"/>
          <w:lang w:val="en-US" w:eastAsia="en-PH"/>
        </w:rPr>
        <w:t xml:space="preserve"> </w:t>
      </w:r>
      <w:r>
        <w:rPr>
          <w:rFonts w:hint="default"/>
          <w:lang w:val="en-PH" w:eastAsia="en-PH"/>
        </w:rPr>
        <w:t>2021.</w:t>
      </w:r>
    </w:p>
    <w:p w14:paraId="37C3D7E9">
      <w:pPr>
        <w:pStyle w:val="28"/>
        <w:rPr>
          <w:rFonts w:hint="default"/>
          <w:lang w:val="en-PH" w:eastAsia="en-PH"/>
        </w:rPr>
      </w:pPr>
      <w:r>
        <w:rPr>
          <w:rFonts w:hint="default"/>
          <w:lang w:val="en-PH" w:eastAsia="en-PH"/>
        </w:rPr>
        <w:t>United Nations, “Sustainable Development Goal 17: Partnerships for</w:t>
      </w:r>
      <w:r>
        <w:rPr>
          <w:rFonts w:hint="default"/>
          <w:lang w:val="en-US" w:eastAsia="en-PH"/>
        </w:rPr>
        <w:t xml:space="preserve"> </w:t>
      </w:r>
      <w:r>
        <w:rPr>
          <w:rFonts w:hint="default"/>
          <w:lang w:val="en-PH" w:eastAsia="en-PH"/>
        </w:rPr>
        <w:t>the Goals,” United Nations Sustainable Development Goals, 2015–</w:t>
      </w:r>
      <w:r>
        <w:rPr>
          <w:rFonts w:hint="default"/>
          <w:lang w:val="en-US" w:eastAsia="en-PH"/>
        </w:rPr>
        <w:t xml:space="preserve"> </w:t>
      </w:r>
      <w:r>
        <w:rPr>
          <w:rFonts w:hint="default"/>
          <w:lang w:val="en-PH" w:eastAsia="en-PH"/>
        </w:rPr>
        <w:t>present.</w:t>
      </w:r>
    </w:p>
    <w:p w14:paraId="09A5AB6C">
      <w:pPr>
        <w:pStyle w:val="28"/>
        <w:rPr>
          <w:rFonts w:hint="default"/>
          <w:lang w:val="en-PH" w:eastAsia="en-PH"/>
        </w:rPr>
      </w:pPr>
      <w:r>
        <w:rPr>
          <w:rFonts w:hint="default"/>
          <w:lang w:val="en-PH" w:eastAsia="en-PH"/>
        </w:rPr>
        <w:t>S. Verhulst and A. Young, “Data Collaboratives: Creating Value With</w:t>
      </w:r>
      <w:r>
        <w:rPr>
          <w:rFonts w:hint="default"/>
          <w:lang w:val="en-US" w:eastAsia="en-PH"/>
        </w:rPr>
        <w:t xml:space="preserve"> </w:t>
      </w:r>
      <w:r>
        <w:rPr>
          <w:rFonts w:hint="default"/>
          <w:lang w:val="en-PH" w:eastAsia="en-PH"/>
        </w:rPr>
        <w:t>Public Data,” The GovLab, 2016.</w:t>
      </w:r>
    </w:p>
    <w:p w14:paraId="531CBDDC">
      <w:pPr>
        <w:pStyle w:val="28"/>
        <w:rPr>
          <w:rFonts w:hint="default"/>
          <w:lang w:val="en-PH" w:eastAsia="en-PH"/>
        </w:rPr>
      </w:pPr>
      <w:r>
        <w:rPr>
          <w:rFonts w:hint="default"/>
          <w:lang w:val="en-PH" w:eastAsia="en-PH"/>
        </w:rPr>
        <w:t>R. Vinuesa, H. Azizpour, I. Leite, et al., “The role of artificialintelligence in achieving the Sustainable Development Goals,” Nature</w:t>
      </w:r>
      <w:r>
        <w:rPr>
          <w:rFonts w:hint="default"/>
          <w:lang w:val="en-US" w:eastAsia="en-PH"/>
        </w:rPr>
        <w:t xml:space="preserve"> </w:t>
      </w:r>
      <w:r>
        <w:rPr>
          <w:rFonts w:hint="default"/>
          <w:lang w:val="en-PH" w:eastAsia="en-PH"/>
        </w:rPr>
        <w:t>Communications, 11, 233, 2020.</w:t>
      </w:r>
    </w:p>
    <w:p w14:paraId="18B482CC">
      <w:pPr>
        <w:pStyle w:val="28"/>
        <w:rPr>
          <w:rFonts w:hint="default"/>
          <w:lang w:val="en-PH" w:eastAsia="en-PH"/>
        </w:rPr>
      </w:pPr>
      <w:r>
        <w:rPr>
          <w:rFonts w:hint="default"/>
          <w:lang w:val="en-PH" w:eastAsia="en-PH"/>
        </w:rPr>
        <w:t>A. Dey, D. Patra, S. Saha, and S. K. Ghosh, “Aspect-based sentiment</w:t>
      </w:r>
      <w:r>
        <w:rPr>
          <w:rFonts w:hint="default"/>
          <w:lang w:val="en-US" w:eastAsia="en-PH"/>
        </w:rPr>
        <w:t xml:space="preserve"> </w:t>
      </w:r>
      <w:r>
        <w:rPr>
          <w:rFonts w:hint="default"/>
          <w:lang w:val="en-PH" w:eastAsia="en-PH"/>
        </w:rPr>
        <w:t>analysis of consumer reviews,” Applied Soft Computing, vol. 155,</w:t>
      </w:r>
      <w:r>
        <w:rPr>
          <w:rFonts w:hint="default"/>
          <w:lang w:val="en-US" w:eastAsia="en-PH"/>
        </w:rPr>
        <w:t xml:space="preserve"> </w:t>
      </w:r>
      <w:r>
        <w:rPr>
          <w:rFonts w:hint="default"/>
          <w:lang w:val="en-PH" w:eastAsia="en-PH"/>
        </w:rPr>
        <w:t>112259, 2024.</w:t>
      </w:r>
    </w:p>
    <w:p w14:paraId="3E57B57A">
      <w:pPr>
        <w:pStyle w:val="28"/>
        <w:rPr>
          <w:rFonts w:hint="default"/>
          <w:lang w:val="en-PH" w:eastAsia="en-PH"/>
        </w:rPr>
      </w:pPr>
      <w:r>
        <w:rPr>
          <w:rFonts w:hint="default"/>
          <w:lang w:val="en-PH" w:eastAsia="en-PH"/>
        </w:rPr>
        <w:t>A. Conneau et al., “Unsupervised Cross-lingual Representation</w:t>
      </w:r>
      <w:r>
        <w:rPr>
          <w:rFonts w:hint="default"/>
          <w:lang w:val="en-US" w:eastAsia="en-PH"/>
        </w:rPr>
        <w:t xml:space="preserve"> </w:t>
      </w:r>
      <w:r>
        <w:rPr>
          <w:rFonts w:hint="default"/>
          <w:lang w:val="en-PH" w:eastAsia="en-PH"/>
        </w:rPr>
        <w:t>Learning at Scale,” in Proc. ACL, 2020.</w:t>
      </w:r>
    </w:p>
    <w:p w14:paraId="1C1FDB75">
      <w:pPr>
        <w:pStyle w:val="28"/>
        <w:rPr>
          <w:rFonts w:hint="default"/>
          <w:lang w:val="en-PH" w:eastAsia="en-PH"/>
        </w:rPr>
      </w:pPr>
      <w:r>
        <w:rPr>
          <w:rFonts w:hint="default"/>
          <w:lang w:val="en-PH" w:eastAsia="en-PH"/>
        </w:rPr>
        <w:t>DOST-ASTI, “RoBERTa-tl-sentiment-analysis,” Model Card, 2024.</w:t>
      </w:r>
      <w:r>
        <w:rPr>
          <w:rFonts w:hint="default"/>
          <w:lang w:val="en-US" w:eastAsia="en-PH"/>
        </w:rPr>
        <w:t xml:space="preserve"> </w:t>
      </w:r>
      <w:r>
        <w:rPr>
          <w:rFonts w:hint="default"/>
          <w:lang w:val="en-PH" w:eastAsia="en-PH"/>
        </w:rPr>
        <w:t>Available: Hugging Face.</w:t>
      </w:r>
    </w:p>
    <w:p w14:paraId="260A7852">
      <w:pPr>
        <w:pStyle w:val="28"/>
        <w:rPr>
          <w:rFonts w:hint="default"/>
          <w:lang w:val="en-PH" w:eastAsia="en-PH"/>
        </w:rPr>
      </w:pPr>
      <w:r>
        <w:rPr>
          <w:rFonts w:hint="default"/>
          <w:lang w:val="en-PH" w:eastAsia="en-PH"/>
        </w:rPr>
        <w:t>Associated Press, “The internet is rife with fake reviews. Will AI make</w:t>
      </w:r>
      <w:r>
        <w:rPr>
          <w:rFonts w:hint="default"/>
          <w:lang w:val="en-US" w:eastAsia="en-PH"/>
        </w:rPr>
        <w:t xml:space="preserve"> </w:t>
      </w:r>
      <w:r>
        <w:rPr>
          <w:rFonts w:hint="default"/>
          <w:lang w:val="en-PH" w:eastAsia="en-PH"/>
        </w:rPr>
        <w:t>it worse?,” Dec. 23, 2024.</w:t>
      </w:r>
    </w:p>
    <w:p w14:paraId="4546B98F">
      <w:pPr>
        <w:pStyle w:val="28"/>
        <w:rPr>
          <w:rFonts w:hint="default"/>
          <w:lang w:val="en-PH" w:eastAsia="en-PH"/>
        </w:rPr>
      </w:pPr>
      <w:r>
        <w:rPr>
          <w:rFonts w:hint="default"/>
          <w:lang w:val="en-PH" w:eastAsia="en-PH"/>
        </w:rPr>
        <w:t>P. Quoc-Hung, L. Thi-Thanh-Hien, and N. Thanh-Tam, “Aspect-Based</w:t>
      </w:r>
      <w:r>
        <w:rPr>
          <w:rFonts w:hint="default"/>
          <w:lang w:val="en-US" w:eastAsia="en-PH"/>
        </w:rPr>
        <w:t xml:space="preserve"> </w:t>
      </w:r>
      <w:r>
        <w:rPr>
          <w:rFonts w:hint="default"/>
          <w:lang w:val="en-PH" w:eastAsia="en-PH"/>
        </w:rPr>
        <w:t>Sentiment Analysis of Clothing Reviews in E-Commerce,” in Proc.</w:t>
      </w:r>
      <w:r>
        <w:rPr>
          <w:rFonts w:hint="default"/>
          <w:lang w:val="en-US" w:eastAsia="en-PH"/>
        </w:rPr>
        <w:t xml:space="preserve"> </w:t>
      </w:r>
      <w:r>
        <w:rPr>
          <w:rFonts w:hint="default"/>
          <w:lang w:val="en-PH" w:eastAsia="en-PH"/>
        </w:rPr>
        <w:t>PACLIC, 2024.</w:t>
      </w:r>
    </w:p>
    <w:p w14:paraId="2BDE55E1">
      <w:pPr>
        <w:pStyle w:val="28"/>
        <w:rPr>
          <w:rFonts w:hint="default"/>
          <w:lang w:val="en-PH" w:eastAsia="en-PH"/>
        </w:rPr>
      </w:pPr>
      <w:r>
        <w:rPr>
          <w:rFonts w:hint="default"/>
          <w:lang w:val="en-PH" w:eastAsia="en-PH"/>
        </w:rPr>
        <w:t>Department of Trade and Industry (Philippines), E-Commerce</w:t>
      </w:r>
      <w:r>
        <w:rPr>
          <w:rFonts w:hint="default"/>
          <w:lang w:val="en-US" w:eastAsia="en-PH"/>
        </w:rPr>
        <w:t xml:space="preserve"> </w:t>
      </w:r>
      <w:r>
        <w:rPr>
          <w:rFonts w:hint="default"/>
          <w:lang w:val="en-PH" w:eastAsia="en-PH"/>
        </w:rPr>
        <w:t>Philippines 2022 Roadmap, 2021.</w:t>
      </w:r>
    </w:p>
    <w:p w14:paraId="1867C468">
      <w:pPr>
        <w:pStyle w:val="28"/>
        <w:rPr>
          <w:rFonts w:hint="default"/>
          <w:lang w:val="en-PH" w:eastAsia="en-PH"/>
        </w:rPr>
      </w:pPr>
      <w:r>
        <w:rPr>
          <w:rFonts w:hint="default"/>
          <w:lang w:val="en-PH" w:eastAsia="en-PH"/>
        </w:rPr>
        <w:t>U.S. Department of Commerce, “Philippines – eCommerce,” Country</w:t>
      </w:r>
      <w:r>
        <w:rPr>
          <w:rFonts w:hint="default"/>
          <w:lang w:val="en-US" w:eastAsia="en-PH"/>
        </w:rPr>
        <w:t xml:space="preserve"> </w:t>
      </w:r>
      <w:r>
        <w:rPr>
          <w:rFonts w:hint="default"/>
          <w:lang w:val="en-PH" w:eastAsia="en-PH"/>
        </w:rPr>
        <w:t>Commercial Guide, Jan. 24, 2024.</w:t>
      </w:r>
    </w:p>
    <w:p w14:paraId="43D37214">
      <w:pPr>
        <w:pStyle w:val="28"/>
        <w:rPr>
          <w:rFonts w:hint="default"/>
          <w:lang w:val="en-PH" w:eastAsia="en-PH"/>
        </w:rPr>
      </w:pPr>
      <w:r>
        <w:rPr>
          <w:rFonts w:hint="default"/>
          <w:lang w:val="en-PH" w:eastAsia="en-PH"/>
        </w:rPr>
        <w:t>Google, Temasek, and Bain &amp; Company, e-Conomy SEA 2024 report,</w:t>
      </w:r>
      <w:r>
        <w:rPr>
          <w:rFonts w:hint="default"/>
          <w:lang w:val="en-US" w:eastAsia="en-PH"/>
        </w:rPr>
        <w:t xml:space="preserve"> </w:t>
      </w:r>
      <w:r>
        <w:rPr>
          <w:rFonts w:hint="default"/>
          <w:lang w:val="en-PH" w:eastAsia="en-PH"/>
        </w:rPr>
        <w:t>2024.</w:t>
      </w:r>
    </w:p>
    <w:p w14:paraId="730A0460">
      <w:pPr>
        <w:pStyle w:val="28"/>
        <w:rPr>
          <w:rFonts w:hint="default"/>
          <w:lang w:val="en-PH" w:eastAsia="en-PH"/>
        </w:rPr>
      </w:pPr>
      <w:r>
        <w:rPr>
          <w:rFonts w:hint="default"/>
          <w:lang w:val="en-PH" w:eastAsia="en-PH"/>
        </w:rPr>
        <w:t>C. J. Cosme, “FiReCS: Filipino–English Code-Switched Reviews</w:t>
      </w:r>
      <w:r>
        <w:rPr>
          <w:rFonts w:hint="default"/>
          <w:lang w:val="en-US" w:eastAsia="en-PH"/>
        </w:rPr>
        <w:t xml:space="preserve"> </w:t>
      </w:r>
      <w:r>
        <w:rPr>
          <w:rFonts w:hint="default"/>
          <w:lang w:val="en-PH" w:eastAsia="en-PH"/>
        </w:rPr>
        <w:t>Dataset,” Hugging Face, 2024. [Online]</w:t>
      </w:r>
    </w:p>
    <w:p w14:paraId="4B561ACE">
      <w:pPr>
        <w:pStyle w:val="28"/>
        <w:rPr>
          <w:rFonts w:hint="default"/>
          <w:lang w:val="en-PH" w:eastAsia="en-PH"/>
        </w:rPr>
      </w:pPr>
      <w:r>
        <w:rPr>
          <w:rFonts w:hint="default"/>
          <w:lang w:val="en-PH" w:eastAsia="en-PH"/>
        </w:rPr>
        <w:t>A. Alsentzer, J. Murphy, W. Boag et al., “Publicly Available Clinical BERT Embeddings for Clinical NLP,” Proc. Clinical NLP Workshop, 2019.</w:t>
      </w:r>
    </w:p>
    <w:p w14:paraId="1545E7C8">
      <w:pPr>
        <w:pStyle w:val="28"/>
        <w:rPr>
          <w:rFonts w:hint="default"/>
          <w:lang w:val="en-PH" w:eastAsia="en-PH"/>
        </w:rPr>
      </w:pPr>
      <w:r>
        <w:rPr>
          <w:rFonts w:hint="default"/>
          <w:lang w:val="en-PH" w:eastAsia="en-PH"/>
        </w:rPr>
        <w:t>V. Sanh, L. Debut, J. Chaumond, and T. Wolf, “DistilBERT, a Distilled Version of BERT: Smaller, Faster, Cheaper and Lighter,” arXiv preprint arXiv:1910.01108, 2019.</w:t>
      </w:r>
    </w:p>
    <w:p w14:paraId="6681817E">
      <w:pPr>
        <w:pStyle w:val="28"/>
        <w:rPr>
          <w:rFonts w:hint="default"/>
          <w:lang w:val="en-PH" w:eastAsia="en-PH"/>
        </w:rPr>
      </w:pPr>
      <w:r>
        <w:rPr>
          <w:rFonts w:hint="default"/>
          <w:lang w:val="en-PH" w:eastAsia="en-PH"/>
        </w:rPr>
        <w:t>T. Wolf et al., “Transformers: State-of-the-Art Natural Language Processing,” Proc. EMNLP: System Demonstrations, 2020.</w:t>
      </w:r>
    </w:p>
    <w:p w14:paraId="7C964CC9">
      <w:pPr>
        <w:pStyle w:val="28"/>
        <w:numPr>
          <w:ilvl w:val="0"/>
          <w:numId w:val="0"/>
        </w:numPr>
        <w:ind w:leftChars="0"/>
        <w:rPr>
          <w:lang w:val="en-PH" w:eastAsia="en-PH"/>
        </w:rPr>
      </w:pPr>
    </w:p>
    <w:p w14:paraId="0DDF4DE0">
      <w:pPr>
        <w:pStyle w:val="28"/>
        <w:numPr>
          <w:ilvl w:val="0"/>
          <w:numId w:val="0"/>
        </w:numPr>
        <w:ind w:leftChars="0"/>
        <w:rPr>
          <w:lang w:val="en-PH" w:eastAsia="en-PH"/>
        </w:rPr>
      </w:pPr>
    </w:p>
    <w:p w14:paraId="455677E5">
      <w:pPr>
        <w:pStyle w:val="28"/>
        <w:numPr>
          <w:ilvl w:val="0"/>
          <w:numId w:val="0"/>
        </w:numPr>
        <w:rPr>
          <w:lang w:val="en-PH" w:eastAsia="en-PH"/>
        </w:rPr>
        <w:sectPr>
          <w:type w:val="continuous"/>
          <w:pgSz w:w="11906" w:h="16838"/>
          <w:pgMar w:top="1080" w:right="907" w:bottom="1440" w:left="907" w:header="720" w:footer="720" w:gutter="0"/>
          <w:cols w:space="360" w:num="2"/>
          <w:docGrid w:linePitch="360" w:charSpace="0"/>
        </w:sectPr>
      </w:pPr>
    </w:p>
    <w:p w14:paraId="21426150">
      <w:pPr>
        <w:jc w:val="both"/>
      </w:pP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Aptos Display">
    <w:altName w:val="Vampire Wars"/>
    <w:panose1 w:val="00000000000000000000"/>
    <w:charset w:val="00"/>
    <w:family w:val="swiss"/>
    <w:pitch w:val="default"/>
    <w:sig w:usb0="00000000" w:usb1="00000000" w:usb2="00000000" w:usb3="00000000" w:csb0="0000019F" w:csb1="00000000"/>
  </w:font>
  <w:font w:name="等线 Light">
    <w:altName w:val="Vampire Wars"/>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Vampire Wars">
    <w:panose1 w:val="020005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58581">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5"/>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22"/>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3"/>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4"/>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4"/>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MzNDQzNbEwNjYAAiUdpeDU4uLM/DyQAqNaAOmt5xksAAAA"/>
  </w:docVars>
  <w:rsids>
    <w:rsidRoot w:val="009303D9"/>
    <w:rsid w:val="00000DDA"/>
    <w:rsid w:val="00022514"/>
    <w:rsid w:val="00027CB0"/>
    <w:rsid w:val="00034B7D"/>
    <w:rsid w:val="000377AC"/>
    <w:rsid w:val="0004005F"/>
    <w:rsid w:val="00040A26"/>
    <w:rsid w:val="00044242"/>
    <w:rsid w:val="0004781E"/>
    <w:rsid w:val="00052A20"/>
    <w:rsid w:val="00054B6B"/>
    <w:rsid w:val="00061800"/>
    <w:rsid w:val="0006313B"/>
    <w:rsid w:val="00066C7C"/>
    <w:rsid w:val="00083EF7"/>
    <w:rsid w:val="00086521"/>
    <w:rsid w:val="0008758A"/>
    <w:rsid w:val="00092C94"/>
    <w:rsid w:val="000942B3"/>
    <w:rsid w:val="000A195C"/>
    <w:rsid w:val="000A317A"/>
    <w:rsid w:val="000B4C4F"/>
    <w:rsid w:val="000C1E68"/>
    <w:rsid w:val="000D0A14"/>
    <w:rsid w:val="000D540D"/>
    <w:rsid w:val="000F5572"/>
    <w:rsid w:val="000F652B"/>
    <w:rsid w:val="00111749"/>
    <w:rsid w:val="00123C63"/>
    <w:rsid w:val="00136B86"/>
    <w:rsid w:val="0014474F"/>
    <w:rsid w:val="00161A42"/>
    <w:rsid w:val="001813AD"/>
    <w:rsid w:val="001817DD"/>
    <w:rsid w:val="001908CE"/>
    <w:rsid w:val="0019792A"/>
    <w:rsid w:val="001A017B"/>
    <w:rsid w:val="001A2EFD"/>
    <w:rsid w:val="001A3B3D"/>
    <w:rsid w:val="001A40AA"/>
    <w:rsid w:val="001B61CA"/>
    <w:rsid w:val="001B67DC"/>
    <w:rsid w:val="001C6BE0"/>
    <w:rsid w:val="001E1372"/>
    <w:rsid w:val="001E2098"/>
    <w:rsid w:val="001E7FAD"/>
    <w:rsid w:val="001F0A98"/>
    <w:rsid w:val="001F2161"/>
    <w:rsid w:val="001F7876"/>
    <w:rsid w:val="00200BD6"/>
    <w:rsid w:val="00206B15"/>
    <w:rsid w:val="00206E9B"/>
    <w:rsid w:val="002208C8"/>
    <w:rsid w:val="002254A9"/>
    <w:rsid w:val="00232876"/>
    <w:rsid w:val="0023382C"/>
    <w:rsid w:val="00233D97"/>
    <w:rsid w:val="002347A2"/>
    <w:rsid w:val="00234B5A"/>
    <w:rsid w:val="00237741"/>
    <w:rsid w:val="0023780C"/>
    <w:rsid w:val="00240326"/>
    <w:rsid w:val="0024168C"/>
    <w:rsid w:val="00250DC4"/>
    <w:rsid w:val="00255E66"/>
    <w:rsid w:val="00264D5C"/>
    <w:rsid w:val="002650CA"/>
    <w:rsid w:val="00270E58"/>
    <w:rsid w:val="002850E3"/>
    <w:rsid w:val="00286A34"/>
    <w:rsid w:val="002A3211"/>
    <w:rsid w:val="002A3B9D"/>
    <w:rsid w:val="002B05E5"/>
    <w:rsid w:val="002B5E8D"/>
    <w:rsid w:val="002D5FF4"/>
    <w:rsid w:val="002E2271"/>
    <w:rsid w:val="003040A4"/>
    <w:rsid w:val="00304BA3"/>
    <w:rsid w:val="003124E3"/>
    <w:rsid w:val="0031433E"/>
    <w:rsid w:val="003150A5"/>
    <w:rsid w:val="00354FCF"/>
    <w:rsid w:val="00362D3A"/>
    <w:rsid w:val="00363106"/>
    <w:rsid w:val="003674E9"/>
    <w:rsid w:val="00374725"/>
    <w:rsid w:val="00377ABF"/>
    <w:rsid w:val="0038128C"/>
    <w:rsid w:val="003A19E2"/>
    <w:rsid w:val="003A7B09"/>
    <w:rsid w:val="003B2ECF"/>
    <w:rsid w:val="003B4E04"/>
    <w:rsid w:val="003B6935"/>
    <w:rsid w:val="003C10E4"/>
    <w:rsid w:val="003C497A"/>
    <w:rsid w:val="003C7780"/>
    <w:rsid w:val="003D7466"/>
    <w:rsid w:val="003E04F8"/>
    <w:rsid w:val="003E382F"/>
    <w:rsid w:val="003E77A7"/>
    <w:rsid w:val="003F1DF7"/>
    <w:rsid w:val="003F5A08"/>
    <w:rsid w:val="0040530C"/>
    <w:rsid w:val="00416CB1"/>
    <w:rsid w:val="00420716"/>
    <w:rsid w:val="00423BED"/>
    <w:rsid w:val="00432395"/>
    <w:rsid w:val="004325FB"/>
    <w:rsid w:val="004414D7"/>
    <w:rsid w:val="0044196F"/>
    <w:rsid w:val="00442A9C"/>
    <w:rsid w:val="004432BA"/>
    <w:rsid w:val="0044407E"/>
    <w:rsid w:val="004446D3"/>
    <w:rsid w:val="00446263"/>
    <w:rsid w:val="00447BB9"/>
    <w:rsid w:val="00450FFD"/>
    <w:rsid w:val="0046031D"/>
    <w:rsid w:val="0049028F"/>
    <w:rsid w:val="0049427C"/>
    <w:rsid w:val="004B4AAD"/>
    <w:rsid w:val="004B4C11"/>
    <w:rsid w:val="004D72B5"/>
    <w:rsid w:val="004E3670"/>
    <w:rsid w:val="004E378E"/>
    <w:rsid w:val="004F3288"/>
    <w:rsid w:val="004F5EFB"/>
    <w:rsid w:val="00514A65"/>
    <w:rsid w:val="00514E5E"/>
    <w:rsid w:val="00517244"/>
    <w:rsid w:val="00517938"/>
    <w:rsid w:val="0052322A"/>
    <w:rsid w:val="005270F0"/>
    <w:rsid w:val="00527B88"/>
    <w:rsid w:val="005314C9"/>
    <w:rsid w:val="00532900"/>
    <w:rsid w:val="00540D50"/>
    <w:rsid w:val="00551B7F"/>
    <w:rsid w:val="005579DD"/>
    <w:rsid w:val="00561245"/>
    <w:rsid w:val="00561501"/>
    <w:rsid w:val="0056610F"/>
    <w:rsid w:val="00570824"/>
    <w:rsid w:val="00575BCA"/>
    <w:rsid w:val="00586992"/>
    <w:rsid w:val="005B0344"/>
    <w:rsid w:val="005B273D"/>
    <w:rsid w:val="005B40B7"/>
    <w:rsid w:val="005B49FA"/>
    <w:rsid w:val="005B520E"/>
    <w:rsid w:val="005B6366"/>
    <w:rsid w:val="005C7799"/>
    <w:rsid w:val="005E2800"/>
    <w:rsid w:val="005F13FA"/>
    <w:rsid w:val="005F16C0"/>
    <w:rsid w:val="00605825"/>
    <w:rsid w:val="00607540"/>
    <w:rsid w:val="006129E3"/>
    <w:rsid w:val="00621EC6"/>
    <w:rsid w:val="0063252D"/>
    <w:rsid w:val="006334A5"/>
    <w:rsid w:val="00644324"/>
    <w:rsid w:val="00645D22"/>
    <w:rsid w:val="00651A08"/>
    <w:rsid w:val="00654204"/>
    <w:rsid w:val="0066272B"/>
    <w:rsid w:val="00670434"/>
    <w:rsid w:val="00674953"/>
    <w:rsid w:val="00674C9A"/>
    <w:rsid w:val="00695659"/>
    <w:rsid w:val="00697EF7"/>
    <w:rsid w:val="006A046B"/>
    <w:rsid w:val="006A072A"/>
    <w:rsid w:val="006A607A"/>
    <w:rsid w:val="006A73F8"/>
    <w:rsid w:val="006A7B52"/>
    <w:rsid w:val="006B6B66"/>
    <w:rsid w:val="006C66D1"/>
    <w:rsid w:val="006E063F"/>
    <w:rsid w:val="006E5F9E"/>
    <w:rsid w:val="006F530A"/>
    <w:rsid w:val="006F6D3D"/>
    <w:rsid w:val="00703DBE"/>
    <w:rsid w:val="00703FBF"/>
    <w:rsid w:val="00715BEA"/>
    <w:rsid w:val="00722002"/>
    <w:rsid w:val="00722017"/>
    <w:rsid w:val="007327B6"/>
    <w:rsid w:val="007401B0"/>
    <w:rsid w:val="00740EEA"/>
    <w:rsid w:val="00752D81"/>
    <w:rsid w:val="00757BED"/>
    <w:rsid w:val="00762CB5"/>
    <w:rsid w:val="00763698"/>
    <w:rsid w:val="00772458"/>
    <w:rsid w:val="00787CF2"/>
    <w:rsid w:val="00794804"/>
    <w:rsid w:val="007A73BC"/>
    <w:rsid w:val="007B33F1"/>
    <w:rsid w:val="007B6633"/>
    <w:rsid w:val="007B6DDA"/>
    <w:rsid w:val="007C0308"/>
    <w:rsid w:val="007C2FF2"/>
    <w:rsid w:val="007D2DB3"/>
    <w:rsid w:val="007D54C6"/>
    <w:rsid w:val="007D6232"/>
    <w:rsid w:val="007D6742"/>
    <w:rsid w:val="007D6948"/>
    <w:rsid w:val="007E17BB"/>
    <w:rsid w:val="007E1D90"/>
    <w:rsid w:val="007F1F99"/>
    <w:rsid w:val="007F768F"/>
    <w:rsid w:val="00805186"/>
    <w:rsid w:val="008065BB"/>
    <w:rsid w:val="0080791D"/>
    <w:rsid w:val="00834C90"/>
    <w:rsid w:val="00836367"/>
    <w:rsid w:val="00836BFF"/>
    <w:rsid w:val="0084469C"/>
    <w:rsid w:val="008577CB"/>
    <w:rsid w:val="008715B9"/>
    <w:rsid w:val="00873603"/>
    <w:rsid w:val="00890908"/>
    <w:rsid w:val="00893328"/>
    <w:rsid w:val="008A0888"/>
    <w:rsid w:val="008A2C7D"/>
    <w:rsid w:val="008A3952"/>
    <w:rsid w:val="008A57E7"/>
    <w:rsid w:val="008C1DF2"/>
    <w:rsid w:val="008C237A"/>
    <w:rsid w:val="008C4B23"/>
    <w:rsid w:val="008D0C3E"/>
    <w:rsid w:val="008E6B98"/>
    <w:rsid w:val="008F336B"/>
    <w:rsid w:val="008F383A"/>
    <w:rsid w:val="008F3AD3"/>
    <w:rsid w:val="008F6A67"/>
    <w:rsid w:val="008F6E2C"/>
    <w:rsid w:val="008F6FB2"/>
    <w:rsid w:val="00907B99"/>
    <w:rsid w:val="009115F7"/>
    <w:rsid w:val="009303D9"/>
    <w:rsid w:val="00931FB0"/>
    <w:rsid w:val="00933C64"/>
    <w:rsid w:val="00951052"/>
    <w:rsid w:val="00951F7C"/>
    <w:rsid w:val="00954D24"/>
    <w:rsid w:val="00962B8F"/>
    <w:rsid w:val="009631F5"/>
    <w:rsid w:val="00972203"/>
    <w:rsid w:val="00972BBD"/>
    <w:rsid w:val="00973217"/>
    <w:rsid w:val="00973897"/>
    <w:rsid w:val="00976687"/>
    <w:rsid w:val="009876FE"/>
    <w:rsid w:val="00992372"/>
    <w:rsid w:val="009A363C"/>
    <w:rsid w:val="009B06A8"/>
    <w:rsid w:val="009B1467"/>
    <w:rsid w:val="009B666F"/>
    <w:rsid w:val="009D6AB9"/>
    <w:rsid w:val="009E0E3B"/>
    <w:rsid w:val="009E448F"/>
    <w:rsid w:val="009F1131"/>
    <w:rsid w:val="009F1D79"/>
    <w:rsid w:val="00A059B3"/>
    <w:rsid w:val="00A2300A"/>
    <w:rsid w:val="00A3208B"/>
    <w:rsid w:val="00A662DE"/>
    <w:rsid w:val="00A8338A"/>
    <w:rsid w:val="00A872CC"/>
    <w:rsid w:val="00AA1841"/>
    <w:rsid w:val="00AC7DAF"/>
    <w:rsid w:val="00AD6CD1"/>
    <w:rsid w:val="00AD7C14"/>
    <w:rsid w:val="00AE3409"/>
    <w:rsid w:val="00AF45BC"/>
    <w:rsid w:val="00B10C86"/>
    <w:rsid w:val="00B11A60"/>
    <w:rsid w:val="00B21081"/>
    <w:rsid w:val="00B22613"/>
    <w:rsid w:val="00B305E0"/>
    <w:rsid w:val="00B40D53"/>
    <w:rsid w:val="00B416D0"/>
    <w:rsid w:val="00B424E9"/>
    <w:rsid w:val="00B42742"/>
    <w:rsid w:val="00B458F7"/>
    <w:rsid w:val="00B51235"/>
    <w:rsid w:val="00B5220A"/>
    <w:rsid w:val="00B56B9C"/>
    <w:rsid w:val="00B62CAD"/>
    <w:rsid w:val="00B66F63"/>
    <w:rsid w:val="00B71680"/>
    <w:rsid w:val="00B7637E"/>
    <w:rsid w:val="00B768D1"/>
    <w:rsid w:val="00B86174"/>
    <w:rsid w:val="00B86740"/>
    <w:rsid w:val="00B91397"/>
    <w:rsid w:val="00B94757"/>
    <w:rsid w:val="00BA0740"/>
    <w:rsid w:val="00BA1025"/>
    <w:rsid w:val="00BA444F"/>
    <w:rsid w:val="00BB45D2"/>
    <w:rsid w:val="00BC3420"/>
    <w:rsid w:val="00BD670B"/>
    <w:rsid w:val="00BE0D8B"/>
    <w:rsid w:val="00BE1E30"/>
    <w:rsid w:val="00BE4402"/>
    <w:rsid w:val="00BE64DD"/>
    <w:rsid w:val="00BE7D3C"/>
    <w:rsid w:val="00BF0D46"/>
    <w:rsid w:val="00BF5FF6"/>
    <w:rsid w:val="00C0207F"/>
    <w:rsid w:val="00C04461"/>
    <w:rsid w:val="00C053D8"/>
    <w:rsid w:val="00C1443E"/>
    <w:rsid w:val="00C16117"/>
    <w:rsid w:val="00C23FE1"/>
    <w:rsid w:val="00C30458"/>
    <w:rsid w:val="00C3075A"/>
    <w:rsid w:val="00C37694"/>
    <w:rsid w:val="00C518F2"/>
    <w:rsid w:val="00C723C5"/>
    <w:rsid w:val="00C74900"/>
    <w:rsid w:val="00C8781F"/>
    <w:rsid w:val="00C87B7F"/>
    <w:rsid w:val="00C919A4"/>
    <w:rsid w:val="00C93359"/>
    <w:rsid w:val="00C945D8"/>
    <w:rsid w:val="00CA4392"/>
    <w:rsid w:val="00CB191B"/>
    <w:rsid w:val="00CB320B"/>
    <w:rsid w:val="00CB6DB1"/>
    <w:rsid w:val="00CC393F"/>
    <w:rsid w:val="00CC4B17"/>
    <w:rsid w:val="00CD0E1F"/>
    <w:rsid w:val="00CD77C6"/>
    <w:rsid w:val="00CD7E4F"/>
    <w:rsid w:val="00CE44C4"/>
    <w:rsid w:val="00CE70DA"/>
    <w:rsid w:val="00CF0797"/>
    <w:rsid w:val="00CF14F4"/>
    <w:rsid w:val="00CF1608"/>
    <w:rsid w:val="00CF2A0A"/>
    <w:rsid w:val="00D00EF7"/>
    <w:rsid w:val="00D04E87"/>
    <w:rsid w:val="00D14320"/>
    <w:rsid w:val="00D172B8"/>
    <w:rsid w:val="00D20C6A"/>
    <w:rsid w:val="00D2176E"/>
    <w:rsid w:val="00D26F61"/>
    <w:rsid w:val="00D34F2C"/>
    <w:rsid w:val="00D55471"/>
    <w:rsid w:val="00D57BF1"/>
    <w:rsid w:val="00D632BE"/>
    <w:rsid w:val="00D664E1"/>
    <w:rsid w:val="00D72D06"/>
    <w:rsid w:val="00D7522C"/>
    <w:rsid w:val="00D7536F"/>
    <w:rsid w:val="00D76593"/>
    <w:rsid w:val="00D76668"/>
    <w:rsid w:val="00D83528"/>
    <w:rsid w:val="00DA2E03"/>
    <w:rsid w:val="00DB39CD"/>
    <w:rsid w:val="00DB4C71"/>
    <w:rsid w:val="00DC044F"/>
    <w:rsid w:val="00DD0EAC"/>
    <w:rsid w:val="00DE0BAF"/>
    <w:rsid w:val="00DE0F0D"/>
    <w:rsid w:val="00DF66E9"/>
    <w:rsid w:val="00E0270F"/>
    <w:rsid w:val="00E034F6"/>
    <w:rsid w:val="00E07383"/>
    <w:rsid w:val="00E07A1A"/>
    <w:rsid w:val="00E11937"/>
    <w:rsid w:val="00E165BC"/>
    <w:rsid w:val="00E22570"/>
    <w:rsid w:val="00E34337"/>
    <w:rsid w:val="00E47F75"/>
    <w:rsid w:val="00E52C5D"/>
    <w:rsid w:val="00E61E12"/>
    <w:rsid w:val="00E707CF"/>
    <w:rsid w:val="00E7596C"/>
    <w:rsid w:val="00E8280D"/>
    <w:rsid w:val="00E8714A"/>
    <w:rsid w:val="00E878F2"/>
    <w:rsid w:val="00E90660"/>
    <w:rsid w:val="00EA0192"/>
    <w:rsid w:val="00EA1151"/>
    <w:rsid w:val="00EA7DD2"/>
    <w:rsid w:val="00EB3ACB"/>
    <w:rsid w:val="00EB5B35"/>
    <w:rsid w:val="00EC2A25"/>
    <w:rsid w:val="00ED0149"/>
    <w:rsid w:val="00ED0180"/>
    <w:rsid w:val="00ED4178"/>
    <w:rsid w:val="00ED66FB"/>
    <w:rsid w:val="00EE40C5"/>
    <w:rsid w:val="00EF0BEC"/>
    <w:rsid w:val="00EF5C25"/>
    <w:rsid w:val="00EF7DE3"/>
    <w:rsid w:val="00F0173E"/>
    <w:rsid w:val="00F03103"/>
    <w:rsid w:val="00F106E2"/>
    <w:rsid w:val="00F229DF"/>
    <w:rsid w:val="00F271DE"/>
    <w:rsid w:val="00F36444"/>
    <w:rsid w:val="00F36E18"/>
    <w:rsid w:val="00F43A74"/>
    <w:rsid w:val="00F50B70"/>
    <w:rsid w:val="00F60E3B"/>
    <w:rsid w:val="00F60F4D"/>
    <w:rsid w:val="00F623B8"/>
    <w:rsid w:val="00F627DA"/>
    <w:rsid w:val="00F653AA"/>
    <w:rsid w:val="00F7288F"/>
    <w:rsid w:val="00F76E8C"/>
    <w:rsid w:val="00F779C2"/>
    <w:rsid w:val="00F802A0"/>
    <w:rsid w:val="00F82DF3"/>
    <w:rsid w:val="00F847A6"/>
    <w:rsid w:val="00F84907"/>
    <w:rsid w:val="00F85A4A"/>
    <w:rsid w:val="00F92C23"/>
    <w:rsid w:val="00F937BF"/>
    <w:rsid w:val="00F9441B"/>
    <w:rsid w:val="00FA2511"/>
    <w:rsid w:val="00FA4C32"/>
    <w:rsid w:val="00FA7F2A"/>
    <w:rsid w:val="00FD5DEE"/>
    <w:rsid w:val="00FE0701"/>
    <w:rsid w:val="00FE5913"/>
    <w:rsid w:val="00FE7114"/>
    <w:rsid w:val="00FE725D"/>
    <w:rsid w:val="00FF3E8B"/>
    <w:rsid w:val="00FF531E"/>
    <w:rsid w:val="00FF63CC"/>
    <w:rsid w:val="03A624BA"/>
    <w:rsid w:val="050C17EC"/>
    <w:rsid w:val="0A3C1656"/>
    <w:rsid w:val="0AB27D00"/>
    <w:rsid w:val="0BC22757"/>
    <w:rsid w:val="0C88761D"/>
    <w:rsid w:val="126E71A9"/>
    <w:rsid w:val="188226F6"/>
    <w:rsid w:val="1D7F6A75"/>
    <w:rsid w:val="267D0F5B"/>
    <w:rsid w:val="287E2C7B"/>
    <w:rsid w:val="2AD21E15"/>
    <w:rsid w:val="2DB528BE"/>
    <w:rsid w:val="32A246A0"/>
    <w:rsid w:val="38D77FCD"/>
    <w:rsid w:val="39CD4EF7"/>
    <w:rsid w:val="3A021CB9"/>
    <w:rsid w:val="3A740DAB"/>
    <w:rsid w:val="3E5D3C9A"/>
    <w:rsid w:val="3EA63BFC"/>
    <w:rsid w:val="40AE7575"/>
    <w:rsid w:val="479245F9"/>
    <w:rsid w:val="4A1768A6"/>
    <w:rsid w:val="4E504577"/>
    <w:rsid w:val="552227BC"/>
    <w:rsid w:val="56B72852"/>
    <w:rsid w:val="57856723"/>
    <w:rsid w:val="58293521"/>
    <w:rsid w:val="592503CD"/>
    <w:rsid w:val="5A392494"/>
    <w:rsid w:val="627A7D87"/>
    <w:rsid w:val="684B068E"/>
    <w:rsid w:val="6F3E5C10"/>
    <w:rsid w:val="746D6812"/>
    <w:rsid w:val="75E33DF5"/>
    <w:rsid w:val="77D90A2D"/>
    <w:rsid w:val="7C422CD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link w:val="39"/>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link w:val="40"/>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link w:val="43"/>
    <w:qFormat/>
    <w:uiPriority w:val="0"/>
    <w:pPr>
      <w:tabs>
        <w:tab w:val="left" w:pos="360"/>
      </w:tabs>
      <w:spacing w:before="160" w:after="80"/>
      <w:outlineLvl w:val="4"/>
    </w:pPr>
    <w:rPr>
      <w:smallCaps/>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1"/>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7"/>
    <w:qFormat/>
    <w:uiPriority w:val="0"/>
    <w:pPr>
      <w:tabs>
        <w:tab w:val="center" w:pos="4680"/>
        <w:tab w:val="right" w:pos="9360"/>
      </w:tabs>
    </w:pPr>
  </w:style>
  <w:style w:type="paragraph" w:styleId="12">
    <w:name w:val="header"/>
    <w:basedOn w:val="1"/>
    <w:link w:val="36"/>
    <w:qFormat/>
    <w:uiPriority w:val="0"/>
    <w:pPr>
      <w:tabs>
        <w:tab w:val="center" w:pos="4680"/>
        <w:tab w:val="right" w:pos="9360"/>
      </w:tabs>
    </w:pPr>
  </w:style>
  <w:style w:type="character" w:styleId="13">
    <w:name w:val="HTML Code"/>
    <w:basedOn w:val="7"/>
    <w:qFormat/>
    <w:uiPriority w:val="0"/>
    <w:rPr>
      <w:rFonts w:ascii="Courier New" w:hAnsi="Courier New" w:cs="Courier New"/>
      <w:sz w:val="20"/>
      <w:szCs w:val="20"/>
    </w:rPr>
  </w:style>
  <w:style w:type="character" w:styleId="14">
    <w:name w:val="Hyperlink"/>
    <w:qFormat/>
    <w:uiPriority w:val="0"/>
    <w:rPr>
      <w:color w:val="467886"/>
      <w:u w:val="single"/>
    </w:rPr>
  </w:style>
  <w:style w:type="paragraph" w:styleId="15">
    <w:name w:val="Normal (Web)"/>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table" w:styleId="17">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9">
    <w:name w:val="Affiliation"/>
    <w:qFormat/>
    <w:uiPriority w:val="0"/>
    <w:pPr>
      <w:jc w:val="center"/>
    </w:pPr>
    <w:rPr>
      <w:rFonts w:ascii="Times New Roman" w:hAnsi="Times New Roman" w:eastAsia="SimSun" w:cs="Times New Roman"/>
      <w:lang w:val="en-US" w:eastAsia="en-US" w:bidi="ar-SA"/>
    </w:rPr>
  </w:style>
  <w:style w:type="paragraph" w:customStyle="1" w:styleId="20">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21">
    <w:name w:val="Body Text Char"/>
    <w:link w:val="9"/>
    <w:qFormat/>
    <w:uiPriority w:val="0"/>
    <w:rPr>
      <w:spacing w:val="-1"/>
      <w:lang w:val="zh-CN" w:eastAsia="zh-CN"/>
    </w:rPr>
  </w:style>
  <w:style w:type="paragraph" w:customStyle="1" w:styleId="22">
    <w:name w:val="bullet list"/>
    <w:basedOn w:val="9"/>
    <w:qFormat/>
    <w:uiPriority w:val="0"/>
    <w:pPr>
      <w:numPr>
        <w:ilvl w:val="0"/>
        <w:numId w:val="2"/>
      </w:numPr>
      <w:tabs>
        <w:tab w:val="clear" w:pos="648"/>
      </w:tabs>
      <w:ind w:left="576" w:hanging="288"/>
    </w:pPr>
  </w:style>
  <w:style w:type="paragraph" w:customStyle="1" w:styleId="23">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4">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5">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6">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7">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8">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9">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30">
    <w:name w:val="table col head"/>
    <w:basedOn w:val="1"/>
    <w:qFormat/>
    <w:uiPriority w:val="0"/>
    <w:rPr>
      <w:b/>
      <w:bCs/>
      <w:sz w:val="16"/>
      <w:szCs w:val="16"/>
    </w:rPr>
  </w:style>
  <w:style w:type="paragraph" w:customStyle="1" w:styleId="31">
    <w:name w:val="table col subhead"/>
    <w:basedOn w:val="30"/>
    <w:qFormat/>
    <w:uiPriority w:val="0"/>
    <w:rPr>
      <w:i/>
      <w:iCs/>
      <w:sz w:val="15"/>
      <w:szCs w:val="15"/>
    </w:rPr>
  </w:style>
  <w:style w:type="paragraph" w:customStyle="1" w:styleId="32">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3">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4">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5">
    <w:name w:val="Keywords"/>
    <w:basedOn w:val="18"/>
    <w:qFormat/>
    <w:uiPriority w:val="0"/>
    <w:pPr>
      <w:spacing w:after="120"/>
      <w:ind w:firstLine="274"/>
    </w:pPr>
    <w:rPr>
      <w:i/>
    </w:rPr>
  </w:style>
  <w:style w:type="character" w:customStyle="1" w:styleId="36">
    <w:name w:val="Header Char"/>
    <w:basedOn w:val="7"/>
    <w:link w:val="12"/>
    <w:qFormat/>
    <w:uiPriority w:val="0"/>
  </w:style>
  <w:style w:type="character" w:customStyle="1" w:styleId="37">
    <w:name w:val="Footer Char"/>
    <w:basedOn w:val="7"/>
    <w:link w:val="11"/>
    <w:qFormat/>
    <w:uiPriority w:val="0"/>
  </w:style>
  <w:style w:type="character" w:customStyle="1" w:styleId="38">
    <w:name w:val="Unresolved Mention"/>
    <w:semiHidden/>
    <w:unhideWhenUsed/>
    <w:qFormat/>
    <w:uiPriority w:val="99"/>
    <w:rPr>
      <w:color w:val="605E5C"/>
      <w:shd w:val="clear" w:color="auto" w:fill="E1DFDD"/>
    </w:rPr>
  </w:style>
  <w:style w:type="character" w:customStyle="1" w:styleId="39">
    <w:name w:val="Heading 1 Char"/>
    <w:link w:val="2"/>
    <w:qFormat/>
    <w:uiPriority w:val="0"/>
    <w:rPr>
      <w:smallCaps/>
      <w:lang w:val="en-US" w:eastAsia="en-US"/>
    </w:rPr>
  </w:style>
  <w:style w:type="character" w:customStyle="1" w:styleId="40">
    <w:name w:val="Heading 2 Char"/>
    <w:link w:val="3"/>
    <w:qFormat/>
    <w:uiPriority w:val="0"/>
    <w:rPr>
      <w:i/>
      <w:iCs/>
      <w:lang w:val="en-US" w:eastAsia="en-US"/>
    </w:rPr>
  </w:style>
  <w:style w:type="character" w:customStyle="1" w:styleId="41">
    <w:name w:val="url"/>
    <w:basedOn w:val="7"/>
    <w:qFormat/>
    <w:uiPriority w:val="0"/>
  </w:style>
  <w:style w:type="paragraph" w:styleId="42">
    <w:name w:val="List Paragraph"/>
    <w:basedOn w:val="1"/>
    <w:qFormat/>
    <w:uiPriority w:val="34"/>
    <w:pPr>
      <w:ind w:left="720"/>
      <w:contextualSpacing/>
    </w:pPr>
  </w:style>
  <w:style w:type="character" w:customStyle="1" w:styleId="43">
    <w:name w:val="Heading 5 Char"/>
    <w:basedOn w:val="7"/>
    <w:link w:val="6"/>
    <w:qFormat/>
    <w:uiPriority w:val="0"/>
    <w:rPr>
      <w:smallCaps/>
      <w:lang w:val="en-US" w:eastAsia="en-US"/>
    </w:rPr>
  </w:style>
  <w:style w:type="table" w:customStyle="1" w:styleId="44">
    <w:name w:val="Plain Table 5"/>
    <w:basedOn w:val="8"/>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5">
    <w:name w:val="Plain Table 3"/>
    <w:basedOn w:val="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1" ma:contentTypeDescription="Create a new document." ma:contentTypeScope="" ma:versionID="d0c17232b7ef71b28f83715d9618f79b">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490eca460267af87782d3a426235d49b"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p:properties xmlns:p="http://schemas.microsoft.com/office/2006/metadata/properties" xmlns:xsi="http://www.w3.org/2001/XMLSchema-instance" xmlns:pc="http://schemas.microsoft.com/office/infopath/2007/PartnerControls">
  <documentManagement>
    <TaxCatchAll xmlns="85cf6750-fa67-4ddf-907d-94fc8e3b3ddb" xsi:nil="true"/>
    <ReferenceId xmlns="98ba71ed-ed7e-4cc3-a8a7-1296b6ec3e02" xsi:nil="true"/>
    <lcf76f155ced4ddcb4097134ff3c332f xmlns="98ba71ed-ed7e-4cc3-a8a7-1296b6ec3e0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319F22-F67D-4928-AC89-504B1771EB5F}"/>
</file>

<file path=customXml/itemProps2.xml><?xml version="1.0" encoding="utf-8"?>
<ds:datastoreItem xmlns:ds="http://schemas.openxmlformats.org/officeDocument/2006/customXml" ds:itemID="{2D867748-D14F-4000-90F3-EDBB60CC2E90}">
  <ds:schemaRefs/>
</ds:datastoreItem>
</file>

<file path=customXml/itemProps3.xml><?xml version="1.0" encoding="utf-8"?>
<ds:datastoreItem xmlns:ds="http://schemas.openxmlformats.org/officeDocument/2006/customXml" ds:itemID="{D3769F33-EBEC-446E-824A-DD6D93003919}">
  <ds:schemaRefs/>
</ds:datastoreItem>
</file>

<file path=customXml/itemProps4.xml><?xml version="1.0" encoding="utf-8"?>
<ds:datastoreItem xmlns:ds="http://schemas.openxmlformats.org/officeDocument/2006/customXml" ds:itemID="{4F81A3F0-8A1A-4533-B128-3337BDB5720D}">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6</Pages>
  <Words>4893</Words>
  <Characters>27895</Characters>
  <Lines>232</Lines>
  <Paragraphs>65</Paragraphs>
  <TotalTime>75</TotalTime>
  <ScaleCrop>false</ScaleCrop>
  <LinksUpToDate>false</LinksUpToDate>
  <CharactersWithSpaces>32723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Emjhay Theresa</cp:lastModifiedBy>
  <cp:revision>34</cp:revision>
  <cp:lastPrinted>2025-02-17T20:00:00Z</cp:lastPrinted>
  <dcterms:created xsi:type="dcterms:W3CDTF">2025-08-04T08:34:00Z</dcterms:created>
  <dcterms:modified xsi:type="dcterms:W3CDTF">2025-11-04T15:32:48Z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757198433C5C4E30AF1E2AAB39FF240F_12</vt:lpwstr>
  </property>
  <property fmtid="{D5CDD505-2E9C-101B-9397-08002B2CF9AE}" pid="4" name="ContentTypeId">
    <vt:lpwstr>0x010100734661374C3DEC459AD7A385CCE2E044</vt:lpwstr>
  </property>
  <property fmtid="{D5CDD505-2E9C-101B-9397-08002B2CF9AE}" pid="5" name="MediaServiceImageTags">
    <vt:lpwstr/>
  </property>
</Properties>
</file>