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6"/>
        </w:rPr>
        <w:t>DEPARTMENT OF COMPUTER SCIENCE &amp; SOFTWARE ENGINEERING</w:t>
        <w:br/>
      </w:r>
      <w:r>
        <w:rPr>
          <w:b/>
          <w:sz w:val="30"/>
        </w:rPr>
        <w:t>LAB REPORT: ADVANCED OPERATING SYSTEMS &amp; CONCURRENCY</w:t>
        <w:br/>
      </w:r>
      <w:r>
        <w:t>Course: CS-304 Distributed Systems</w:t>
        <w:br/>
      </w:r>
      <w:r>
        <w:t>Student Name: Hamza Tariq</w:t>
        <w:br/>
      </w:r>
      <w:r>
        <w:t>Roll Number: 22-CS-114 | Section: A</w:t>
        <w:br/>
      </w:r>
      <w:r>
        <w:t>Instructor: Dr. Asim Qureshi</w:t>
        <w:br/>
      </w:r>
      <w:r>
        <w:t>Date of Submission: October 24, 2026</w:t>
        <w:br/>
      </w:r>
    </w:p>
    <w:p>
      <w:pPr>
        <w:pStyle w:val="Heading1"/>
      </w:pPr>
      <w:r>
        <w:t>1. Introduction and Theoretical Framework</w:t>
      </w:r>
    </w:p>
    <w:p>
      <w:r>
        <w:t>In the realm of modern operating systems, process scheduling serves as an indispensable pillar that plays a pivotal role in ensuring optimal CPU utilization. It is crucial to understand that scheduling algorithms delve into the intricate tapestry of thread priority queues to facilitate the seamless execution of background daemons. Furthermore, this laboratory experiment serves as a testament to the efficacy of multithreaded mutual exclusion under preemptive kernels.</w:t>
      </w:r>
    </w:p>
    <w:p>
      <w:pPr>
        <w:pStyle w:val="Heading1"/>
      </w:pPr>
      <w:r>
        <w:t>2. Experimental Implementation and Code Analysis</w:t>
      </w:r>
    </w:p>
    <w:p>
      <w:r>
        <w:t>In our implementation, we observed that variable task_1_sol_thread_count_v2 facilitates synchronization across the shared memory buffer. It is important to note that function `pthread_mutex_lock_wrapper_v3()` ensures deadlock prevention. Moreover, the dataframe df_execution_latency_v2 demonstrates the efficacy of the spinlock mechanism under high contention.</w:t>
      </w:r>
    </w:p>
    <w:p>
      <w:pPr>
        <w:pStyle w:val="Heading1"/>
      </w:pPr>
      <w:r>
        <w:t>3. Analysis Questions &amp; Discussion</w:t>
      </w:r>
    </w:p>
    <w:p>
      <w:r>
        <w:t>In conclusion, it can be seen that preemptive scheduling harnesses the power of hardware timer interrupts. Consequently, the meticulously gathered metrics serve as a testament to low latency performance. As an AI-inspired student architecture, it is worth noting that memory coherence is maintained seamlessly.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