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4099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1. Enhanced Accessibility: Enables rapid and accurate malaria diagnosis in remote and resource-limited areas.</w:t>
      </w:r>
    </w:p>
    <w:p w14:paraId="1BE1EA34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2. Cost-Effective Solution: Reduces healthcare costs associated with traditional laboratory-based malaria testing.</w:t>
      </w:r>
    </w:p>
    <w:p w14:paraId="44E27E58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3. Early Detection: Facilitates early detection of malaria parasites, leading to timely treatment and prevention of disease transmission.</w:t>
      </w:r>
    </w:p>
    <w:p w14:paraId="4015CB50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4. Empowering Healthcare Workers: Equips frontline healthcare workers with a user-friendly tool for efficient malaria diagnosis and management.</w:t>
      </w:r>
    </w:p>
    <w:p w14:paraId="1F2591A2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5. Global Health Impact: Contributes to global efforts in malaria control and eradication by providing scalable and accessible diagnostic solutions.</w:t>
      </w:r>
    </w:p>
    <w:p w14:paraId="7F50B7F5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6. Reduced Mortality and Morbidity: Helps reduce malaria-related mortality and morbidity rates through timely diagnosis and treatment interventions.</w:t>
      </w:r>
    </w:p>
    <w:p w14:paraId="56AE367A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7. Education and Awareness: Raises awareness about malaria and promotes education on preventive measures and treatment options.</w:t>
      </w:r>
    </w:p>
    <w:p w14:paraId="746CC58D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8. Research and Surveillance: Supports research efforts and enables surveillance of malaria prevalence and drug resistance patterns.</w:t>
      </w:r>
    </w:p>
    <w:p w14:paraId="0BE3AD42" w14:textId="77777777" w:rsidR="00C418D6" w:rsidRPr="001B76B8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9. Sustainable Development Goals: Aligns with the United Nations Sustainable Development Goals by promoting health and well-being (SDG 3) and combating infectious diseases (SDG 3.3).</w:t>
      </w:r>
    </w:p>
    <w:p w14:paraId="387A7A58" w14:textId="77777777" w:rsidR="00C418D6" w:rsidRPr="0087200C" w:rsidRDefault="00C418D6" w:rsidP="00C418D6">
      <w:pPr>
        <w:rPr>
          <w:rFonts w:asciiTheme="majorBidi" w:hAnsiTheme="majorBidi" w:cstheme="majorBidi"/>
        </w:rPr>
      </w:pPr>
      <w:r w:rsidRPr="001B76B8">
        <w:rPr>
          <w:rFonts w:asciiTheme="majorBidi" w:hAnsiTheme="majorBidi" w:cstheme="majorBidi"/>
        </w:rPr>
        <w:t>10. Technological Innovation: Demonstrates the potential of integrating emerging technologies like smartphone microscopy and machine learning for healthcare innovation.</w:t>
      </w:r>
    </w:p>
    <w:p w14:paraId="4DB452BE" w14:textId="77777777" w:rsidR="00DF4C71" w:rsidRDefault="00DF4C71"/>
    <w:sectPr w:rsidR="00DF4C71" w:rsidSect="00C4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D6"/>
    <w:rsid w:val="004935F4"/>
    <w:rsid w:val="00A66D0B"/>
    <w:rsid w:val="00C418D6"/>
    <w:rsid w:val="00D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DA66"/>
  <w15:chartTrackingRefBased/>
  <w15:docId w15:val="{099920BA-3BED-489A-8C7D-AE48A5C0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2024-05-21T15:36:00Z</dcterms:created>
  <dcterms:modified xsi:type="dcterms:W3CDTF">2024-05-21T15:36:00Z</dcterms:modified>
</cp:coreProperties>
</file>