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B04F" w14:textId="77777777" w:rsidR="006B7F6B" w:rsidRPr="006B7F6B" w:rsidRDefault="006B7F6B" w:rsidP="006B7F6B">
      <w:pPr>
        <w:pStyle w:val="Heading1"/>
      </w:pPr>
      <w:r w:rsidRPr="006B7F6B">
        <w:rPr>
          <w:rFonts w:ascii="Segoe UI Emoji" w:hAnsi="Segoe UI Emoji" w:cs="Segoe UI Emoji"/>
        </w:rPr>
        <w:t>📑</w:t>
      </w:r>
      <w:r w:rsidRPr="006B7F6B">
        <w:t xml:space="preserve"> Document: Model Training &amp; Validation Report</w:t>
      </w:r>
    </w:p>
    <w:p w14:paraId="06D5918E" w14:textId="77777777" w:rsidR="006B7F6B" w:rsidRPr="006B7F6B" w:rsidRDefault="006B7F6B" w:rsidP="006B7F6B">
      <w:r w:rsidRPr="006B7F6B">
        <w:rPr>
          <w:b/>
          <w:bCs/>
        </w:rPr>
        <w:t>Project:</w:t>
      </w:r>
      <w:r w:rsidRPr="006B7F6B">
        <w:t xml:space="preserve"> The Financial Inclusion Engine </w:t>
      </w:r>
      <w:r w:rsidRPr="006B7F6B">
        <w:rPr>
          <w:b/>
          <w:bCs/>
        </w:rPr>
        <w:t>Phase:</w:t>
      </w:r>
      <w:r w:rsidRPr="006B7F6B">
        <w:t xml:space="preserve"> 4 – Feature Engineering &amp; Model Training </w:t>
      </w:r>
      <w:r w:rsidRPr="006B7F6B">
        <w:rPr>
          <w:b/>
          <w:bCs/>
        </w:rPr>
        <w:t>Model Type:</w:t>
      </w:r>
      <w:r w:rsidRPr="006B7F6B">
        <w:t xml:space="preserve"> Gradient Boosting (Ensemble Learning) </w:t>
      </w:r>
    </w:p>
    <w:p w14:paraId="4A3DB9AB" w14:textId="77777777" w:rsidR="006B7F6B" w:rsidRPr="006B7F6B" w:rsidRDefault="006B7F6B" w:rsidP="006B7F6B">
      <w:pPr>
        <w:pStyle w:val="Heading3"/>
      </w:pPr>
      <w:r w:rsidRPr="006B7F6B">
        <w:t>1. Executive Performance Summary</w:t>
      </w:r>
    </w:p>
    <w:p w14:paraId="3D08C118" w14:textId="77777777" w:rsidR="006B7F6B" w:rsidRPr="006B7F6B" w:rsidRDefault="006B7F6B" w:rsidP="006B7F6B">
      <w:r w:rsidRPr="006B7F6B">
        <w:t>The model was trained on 8,000 observations and validated on a 2,000-observation hold-out set.</w:t>
      </w:r>
    </w:p>
    <w:p w14:paraId="13E485BF" w14:textId="77777777" w:rsidR="006B7F6B" w:rsidRPr="006B7F6B" w:rsidRDefault="006B7F6B" w:rsidP="006B7F6B">
      <w:pPr>
        <w:numPr>
          <w:ilvl w:val="0"/>
          <w:numId w:val="1"/>
        </w:numPr>
      </w:pPr>
      <w:r w:rsidRPr="006B7F6B">
        <w:rPr>
          <w:b/>
          <w:bCs/>
        </w:rPr>
        <w:t>Accuracy:</w:t>
      </w:r>
      <w:r w:rsidRPr="006B7F6B">
        <w:t xml:space="preserve"> </w:t>
      </w:r>
      <w:r w:rsidRPr="006B7F6B">
        <w:rPr>
          <w:b/>
          <w:bCs/>
        </w:rPr>
        <w:t>70%</w:t>
      </w:r>
      <w:r w:rsidRPr="006B7F6B">
        <w:t xml:space="preserve"> (The engine correctly predicts the outcome for 7 out of 10 applicants).</w:t>
      </w:r>
    </w:p>
    <w:p w14:paraId="40EBA390" w14:textId="77777777" w:rsidR="006B7F6B" w:rsidRPr="006B7F6B" w:rsidRDefault="006B7F6B" w:rsidP="006B7F6B">
      <w:pPr>
        <w:numPr>
          <w:ilvl w:val="0"/>
          <w:numId w:val="1"/>
        </w:numPr>
      </w:pPr>
      <w:r w:rsidRPr="006B7F6B">
        <w:rPr>
          <w:b/>
          <w:bCs/>
        </w:rPr>
        <w:t>Gini Coefficient:</w:t>
      </w:r>
      <w:r w:rsidRPr="006B7F6B">
        <w:t xml:space="preserve"> </w:t>
      </w:r>
      <w:r w:rsidRPr="006B7F6B">
        <w:rPr>
          <w:b/>
          <w:bCs/>
        </w:rPr>
        <w:t>0.55</w:t>
      </w:r>
      <w:r w:rsidRPr="006B7F6B">
        <w:t xml:space="preserve"> (Exceeds the project target of &gt; 0.45).</w:t>
      </w:r>
    </w:p>
    <w:p w14:paraId="2AEEA77A" w14:textId="77777777" w:rsidR="006B7F6B" w:rsidRPr="006B7F6B" w:rsidRDefault="006B7F6B" w:rsidP="006B7F6B">
      <w:pPr>
        <w:numPr>
          <w:ilvl w:val="0"/>
          <w:numId w:val="1"/>
        </w:numPr>
      </w:pPr>
      <w:r w:rsidRPr="006B7F6B">
        <w:rPr>
          <w:b/>
          <w:bCs/>
        </w:rPr>
        <w:t>AUC Score:</w:t>
      </w:r>
      <w:r w:rsidRPr="006B7F6B">
        <w:t xml:space="preserve"> </w:t>
      </w:r>
      <w:r w:rsidRPr="006B7F6B">
        <w:rPr>
          <w:b/>
          <w:bCs/>
        </w:rPr>
        <w:t>0.77</w:t>
      </w:r>
      <w:r w:rsidRPr="006B7F6B">
        <w:t xml:space="preserve"> (The model has a 77% probability of ranking a random "Bad" payer higher than a random "Good" payer).</w:t>
      </w:r>
    </w:p>
    <w:p w14:paraId="209BB6D5" w14:textId="77777777" w:rsidR="006B7F6B" w:rsidRPr="006B7F6B" w:rsidRDefault="006B7F6B" w:rsidP="006B7F6B">
      <w:pPr>
        <w:pStyle w:val="Heading3"/>
      </w:pPr>
      <w:r w:rsidRPr="006B7F6B">
        <w:t>2. Feature Importance (The Risk Drivers)</w:t>
      </w:r>
    </w:p>
    <w:p w14:paraId="10C1D61C" w14:textId="77777777" w:rsidR="006B7F6B" w:rsidRPr="006B7F6B" w:rsidRDefault="006B7F6B" w:rsidP="006B7F6B">
      <w:r w:rsidRPr="006B7F6B">
        <w:t>The engine has identified three primary "</w:t>
      </w:r>
      <w:proofErr w:type="spellStart"/>
      <w:r w:rsidRPr="006B7F6B">
        <w:t>behavioral</w:t>
      </w:r>
      <w:proofErr w:type="spellEnd"/>
      <w:r w:rsidRPr="006B7F6B">
        <w:t xml:space="preserve"> signatures" that dictate creditworthiness in the NTC segment:</w:t>
      </w:r>
    </w:p>
    <w:p w14:paraId="773FA3A5" w14:textId="630DEFA5" w:rsidR="006B7F6B" w:rsidRPr="006B7F6B" w:rsidRDefault="006B7F6B" w:rsidP="006B7F6B">
      <w:pPr>
        <w:numPr>
          <w:ilvl w:val="0"/>
          <w:numId w:val="2"/>
        </w:numPr>
      </w:pPr>
      <w:r w:rsidRPr="006B7F6B">
        <w:rPr>
          <w:b/>
          <w:bCs/>
        </w:rPr>
        <w:t>Digital Stability (27.3%):</w:t>
      </w:r>
      <w:r w:rsidRPr="006B7F6B">
        <w:t xml:space="preserve"> </w:t>
      </w:r>
      <w:proofErr w:type="spellStart"/>
      <w:r w:rsidRPr="006B7F6B">
        <w:t>Sim_Tenure_Months</w:t>
      </w:r>
      <w:proofErr w:type="spellEnd"/>
      <w:r w:rsidRPr="006B7F6B">
        <w:t xml:space="preserve"> is the strongest predictor. This confirms our hypothesis that residential and digital stability correlate with lower default risk.</w:t>
      </w:r>
    </w:p>
    <w:p w14:paraId="5F75E8FA" w14:textId="3AA3BD76" w:rsidR="006B7F6B" w:rsidRPr="006B7F6B" w:rsidRDefault="006B7F6B" w:rsidP="006B7F6B">
      <w:pPr>
        <w:numPr>
          <w:ilvl w:val="0"/>
          <w:numId w:val="2"/>
        </w:numPr>
      </w:pPr>
      <w:proofErr w:type="spellStart"/>
      <w:r w:rsidRPr="006B7F6B">
        <w:rPr>
          <w:b/>
          <w:bCs/>
        </w:rPr>
        <w:t>Behavioral</w:t>
      </w:r>
      <w:proofErr w:type="spellEnd"/>
      <w:r w:rsidRPr="006B7F6B">
        <w:rPr>
          <w:b/>
          <w:bCs/>
        </w:rPr>
        <w:t xml:space="preserve"> Discipline (22.1%):</w:t>
      </w:r>
      <w:r w:rsidRPr="006B7F6B">
        <w:t xml:space="preserve"> The custom </w:t>
      </w:r>
      <w:proofErr w:type="spellStart"/>
      <w:r w:rsidRPr="006B7F6B">
        <w:t>Volatility_Index</w:t>
      </w:r>
      <w:proofErr w:type="spellEnd"/>
      <w:r w:rsidRPr="006B7F6B">
        <w:t xml:space="preserve"> we engineered in Phase 3 is the second most vital feature. High spending volatility is a direct red flag for potential default.</w:t>
      </w:r>
    </w:p>
    <w:p w14:paraId="4977985C" w14:textId="28AF80DB" w:rsidR="006B7F6B" w:rsidRPr="006B7F6B" w:rsidRDefault="006B7F6B" w:rsidP="006B7F6B">
      <w:pPr>
        <w:numPr>
          <w:ilvl w:val="0"/>
          <w:numId w:val="2"/>
        </w:numPr>
      </w:pPr>
      <w:r w:rsidRPr="006B7F6B">
        <w:rPr>
          <w:b/>
          <w:bCs/>
        </w:rPr>
        <w:t>Utility Consistency (18.5%):</w:t>
      </w:r>
      <w:r w:rsidRPr="006B7F6B">
        <w:t xml:space="preserve"> </w:t>
      </w:r>
      <w:proofErr w:type="spellStart"/>
      <w:r w:rsidRPr="006B7F6B">
        <w:t>Electricity_Payment_Gap_Days</w:t>
      </w:r>
      <w:proofErr w:type="spellEnd"/>
      <w:r w:rsidRPr="006B7F6B">
        <w:t xml:space="preserve"> proves that discipline in paying essential services is a viable proxy for debt repayment discipline.</w:t>
      </w:r>
    </w:p>
    <w:p w14:paraId="0C1CDD96" w14:textId="77777777" w:rsidR="006B7F6B" w:rsidRPr="006B7F6B" w:rsidRDefault="006B7F6B" w:rsidP="006B7F6B">
      <w:pPr>
        <w:pStyle w:val="Heading3"/>
      </w:pPr>
      <w:r w:rsidRPr="006B7F6B">
        <w:t>3. Strategic Alignment &amp; Compliance</w:t>
      </w:r>
    </w:p>
    <w:p w14:paraId="4A6D8701" w14:textId="77777777" w:rsidR="006B7F6B" w:rsidRPr="006B7F6B" w:rsidRDefault="006B7F6B" w:rsidP="006B7F6B">
      <w:pPr>
        <w:numPr>
          <w:ilvl w:val="0"/>
          <w:numId w:val="3"/>
        </w:numPr>
      </w:pPr>
      <w:r w:rsidRPr="006B7F6B">
        <w:rPr>
          <w:b/>
          <w:bCs/>
        </w:rPr>
        <w:t>Business Inclusion:</w:t>
      </w:r>
      <w:r w:rsidRPr="006B7F6B">
        <w:t xml:space="preserve"> With a Gini of 0.55, we can safely increase our </w:t>
      </w:r>
      <w:r w:rsidRPr="006B7F6B">
        <w:rPr>
          <w:b/>
          <w:bCs/>
        </w:rPr>
        <w:t>Approval Rate</w:t>
      </w:r>
      <w:r w:rsidRPr="006B7F6B">
        <w:t xml:space="preserve"> to 77% while maintaining portfolio health.</w:t>
      </w:r>
    </w:p>
    <w:p w14:paraId="66E0FE16" w14:textId="77777777" w:rsidR="006B7F6B" w:rsidRPr="006B7F6B" w:rsidRDefault="006B7F6B" w:rsidP="006B7F6B">
      <w:pPr>
        <w:numPr>
          <w:ilvl w:val="0"/>
          <w:numId w:val="3"/>
        </w:numPr>
      </w:pPr>
      <w:r w:rsidRPr="006B7F6B">
        <w:rPr>
          <w:b/>
          <w:bCs/>
        </w:rPr>
        <w:t>Ethical Guardrails:</w:t>
      </w:r>
      <w:r w:rsidRPr="006B7F6B">
        <w:t xml:space="preserve"> The model training strictly excluded race, gender, and location, ensuring 100% compliance with the </w:t>
      </w:r>
      <w:r w:rsidRPr="006B7F6B">
        <w:rPr>
          <w:b/>
          <w:bCs/>
        </w:rPr>
        <w:t>National Credit Act (NCA)</w:t>
      </w:r>
      <w:r w:rsidRPr="006B7F6B">
        <w:t xml:space="preserve"> and </w:t>
      </w:r>
      <w:r w:rsidRPr="006B7F6B">
        <w:rPr>
          <w:b/>
          <w:bCs/>
        </w:rPr>
        <w:t>POPIA</w:t>
      </w:r>
      <w:r w:rsidRPr="006B7F6B">
        <w:t>.</w:t>
      </w:r>
    </w:p>
    <w:p w14:paraId="5F872C84" w14:textId="77777777" w:rsidR="006B7F6B" w:rsidRDefault="006B7F6B"/>
    <w:sectPr w:rsidR="006B7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1C84"/>
    <w:multiLevelType w:val="multilevel"/>
    <w:tmpl w:val="691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C20CD"/>
    <w:multiLevelType w:val="multilevel"/>
    <w:tmpl w:val="2F2E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027F9"/>
    <w:multiLevelType w:val="multilevel"/>
    <w:tmpl w:val="6C5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69025">
    <w:abstractNumId w:val="0"/>
  </w:num>
  <w:num w:numId="2" w16cid:durableId="1254322032">
    <w:abstractNumId w:val="1"/>
  </w:num>
  <w:num w:numId="3" w16cid:durableId="1865632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6B"/>
    <w:rsid w:val="006B7F6B"/>
    <w:rsid w:val="00AE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71C8C"/>
  <w15:chartTrackingRefBased/>
  <w15:docId w15:val="{69C92FD3-5BA2-468D-AA25-1779BD4C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1</cp:revision>
  <dcterms:created xsi:type="dcterms:W3CDTF">2026-02-26T17:31:00Z</dcterms:created>
  <dcterms:modified xsi:type="dcterms:W3CDTF">2026-02-26T17:35:00Z</dcterms:modified>
</cp:coreProperties>
</file>