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A9E0" w14:textId="77777777" w:rsidR="009760F8" w:rsidRDefault="00000000">
      <w:pPr>
        <w:pStyle w:val="Heading1"/>
      </w:pPr>
      <w:r>
        <w:t>Hospital Operations Efficiency &amp; Resource Utilization — Insights Summary</w:t>
      </w:r>
    </w:p>
    <w:p w14:paraId="0EB0CF60" w14:textId="77777777" w:rsidR="00E64A5D" w:rsidRDefault="00000000">
      <w:r>
        <w:t>Date: 2025-11-01</w:t>
      </w:r>
    </w:p>
    <w:p w14:paraId="32624596" w14:textId="7F672A7F" w:rsidR="009760F8" w:rsidRDefault="00000000">
      <w:r>
        <w:t>Executive Summary</w:t>
      </w:r>
    </w:p>
    <w:p w14:paraId="5F05D021" w14:textId="77777777" w:rsidR="00E64A5D" w:rsidRDefault="00000000" w:rsidP="00E64A5D">
      <w:pPr>
        <w:spacing w:after="0"/>
      </w:pPr>
      <w:r>
        <w:t>This report summarizes key operational, clinical, and financial insights derived from</w:t>
      </w:r>
      <w:r w:rsidR="00E64A5D">
        <w:t xml:space="preserve"> </w:t>
      </w:r>
      <w:r>
        <w:t>exploratory data analysis on the hospital operations dataset. The analysis covers</w:t>
      </w:r>
      <w:r w:rsidR="00E64A5D">
        <w:t xml:space="preserve"> </w:t>
      </w:r>
      <w:r>
        <w:t>admissions, bed and equipment utilization, staff efficiency, surgical outcomes, readmission</w:t>
      </w:r>
      <w:r w:rsidR="00E64A5D">
        <w:t xml:space="preserve"> </w:t>
      </w:r>
      <w:r>
        <w:t>patterns, and financial performance. Visual placeholders are included for insertion of charts</w:t>
      </w:r>
      <w:r w:rsidR="00E64A5D">
        <w:t xml:space="preserve"> </w:t>
      </w:r>
      <w:r>
        <w:t>from the Power BI report or the EDA notebook.</w:t>
      </w:r>
    </w:p>
    <w:p w14:paraId="74AC69AF" w14:textId="77777777" w:rsidR="0054767E" w:rsidRDefault="00000000">
      <w:r>
        <w:br/>
        <w:t>1. Network &amp; Capacity Overview</w:t>
      </w:r>
      <w:r>
        <w:br/>
        <w:t>- Total hospitals: 10</w:t>
      </w:r>
      <w:r>
        <w:br/>
        <w:t xml:space="preserve">- Total beds (network): </w:t>
      </w:r>
      <w:r w:rsidR="00271B76">
        <w:t>5677</w:t>
      </w:r>
      <w:r>
        <w:br/>
        <w:t xml:space="preserve">- Average beds per hospital: </w:t>
      </w:r>
      <w:r w:rsidR="00271B76">
        <w:t>567.70</w:t>
      </w:r>
      <w:r>
        <w:br/>
        <w:t>- Geographic concentration: South region shows the highest capacity and admissions.</w:t>
      </w:r>
      <w:r>
        <w:br/>
      </w:r>
    </w:p>
    <w:p w14:paraId="317E0D6C" w14:textId="77777777" w:rsidR="0054767E" w:rsidRDefault="0054767E" w:rsidP="0054767E">
      <w:r w:rsidRPr="0054767E">
        <w:rPr>
          <w:noProof/>
        </w:rPr>
        <w:drawing>
          <wp:inline distT="0" distB="0" distL="0" distR="0" wp14:anchorId="327F4A65" wp14:editId="2C099B93">
            <wp:extent cx="5372100" cy="3035485"/>
            <wp:effectExtent l="0" t="0" r="0" b="0"/>
            <wp:docPr id="91256163" name="Picture 1" descr="A blue orange and purpl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163" name="Picture 1" descr="A blue orange and purple circle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588" cy="30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767E">
        <w:t>Figure 1: _Average Bed Occupancy by Region.</w:t>
      </w:r>
      <w:r>
        <w:br/>
      </w:r>
      <w:r>
        <w:br/>
        <w:t>2. Operational Performance</w:t>
      </w:r>
      <w:r>
        <w:br/>
        <w:t>- Average Length of Stay (LOS): ~5 days.</w:t>
      </w:r>
      <w:r>
        <w:br/>
        <w:t>- Readmission Rate: ~8.0%.</w:t>
      </w:r>
      <w:r>
        <w:br/>
        <w:t>- ER Wait Time (avg): ~29 minutes.</w:t>
      </w:r>
      <w:r>
        <w:br/>
      </w:r>
    </w:p>
    <w:p w14:paraId="510E8200" w14:textId="37CD104F" w:rsidR="0054767E" w:rsidRDefault="0054767E" w:rsidP="0054767E">
      <w:pPr>
        <w:spacing w:after="0"/>
      </w:pPr>
      <w:r>
        <w:rPr>
          <w:noProof/>
        </w:rPr>
        <w:lastRenderedPageBreak/>
        <w:drawing>
          <wp:inline distT="0" distB="0" distL="0" distR="0" wp14:anchorId="67C68763" wp14:editId="3F7B05B4">
            <wp:extent cx="5384800" cy="3365500"/>
            <wp:effectExtent l="0" t="0" r="6350" b="6350"/>
            <wp:docPr id="1642712587" name="Picture 1" descr="A graph of a number of da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2587" name="Picture 1" descr="A graph of a number of day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606" cy="33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2: _Length of Stay Distribution</w:t>
      </w:r>
      <w:r>
        <w:br/>
      </w:r>
      <w:r>
        <w:br/>
        <w:t>3. Staff &amp; Workforce Insights</w:t>
      </w:r>
      <w:r>
        <w:br/>
        <w:t>- Staff composition: Nurses are the largest group (~50% of staff), followed by technicians and doctors.</w:t>
      </w:r>
      <w:r>
        <w:br/>
        <w:t>- Average staff utilization: ~63% (snapshot average).</w:t>
      </w:r>
      <w:r>
        <w:br/>
        <w:t>- Salary &amp; experience: Reasonable alignment of salary with experience across roles.</w:t>
      </w:r>
      <w:r>
        <w:br/>
      </w:r>
    </w:p>
    <w:p w14:paraId="3FEE981E" w14:textId="77777777" w:rsidR="0054767E" w:rsidRDefault="0054767E" w:rsidP="001909C0">
      <w:pPr>
        <w:spacing w:after="0"/>
      </w:pPr>
      <w:r w:rsidRPr="0054767E">
        <w:rPr>
          <w:noProof/>
        </w:rPr>
        <w:drawing>
          <wp:inline distT="0" distB="0" distL="0" distR="0" wp14:anchorId="3415409D" wp14:editId="5BBC9DE6">
            <wp:extent cx="5397500" cy="3048588"/>
            <wp:effectExtent l="0" t="0" r="0" b="0"/>
            <wp:docPr id="68123736" name="Picture 1" descr="A colorful circ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736" name="Picture 1" descr="A colorful circle with number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163" cy="305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3: _Staff Utilization and Role Distribution</w:t>
      </w:r>
      <w:r>
        <w:br/>
      </w:r>
      <w:r>
        <w:lastRenderedPageBreak/>
        <w:t>4. Clinical Outcomes &amp; Surgery Performance</w:t>
      </w:r>
      <w:r>
        <w:br/>
        <w:t>- Surgery complication rate: ~6% (overall).</w:t>
      </w:r>
      <w:r>
        <w:br/>
        <w:t>- Most surgeries show standard durations; variance exists across specialty types.</w:t>
      </w:r>
      <w:r>
        <w:br/>
      </w:r>
    </w:p>
    <w:p w14:paraId="20A20E5F" w14:textId="77777777" w:rsidR="001909C0" w:rsidRDefault="001909C0" w:rsidP="001909C0">
      <w:pPr>
        <w:spacing w:after="0"/>
      </w:pPr>
      <w:r w:rsidRPr="001909C0">
        <w:rPr>
          <w:noProof/>
        </w:rPr>
        <w:drawing>
          <wp:inline distT="0" distB="0" distL="0" distR="0" wp14:anchorId="067CEAC1" wp14:editId="68CDCCD8">
            <wp:extent cx="5359400" cy="3029550"/>
            <wp:effectExtent l="0" t="0" r="0" b="0"/>
            <wp:docPr id="1261487244" name="Picture 1" descr="A blue bar graph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87244" name="Picture 1" descr="A blue bar graph with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637" cy="30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4: _Complication Rate by Surgery Type</w:t>
      </w:r>
      <w:r>
        <w:br/>
      </w:r>
      <w:r>
        <w:br/>
        <w:t>5. Financial Summary</w:t>
      </w:r>
      <w:r>
        <w:br/>
        <w:t>- Average insurance coverage: ~57% of billed amounts.</w:t>
      </w:r>
      <w:r>
        <w:br/>
        <w:t>- Average profit margin (department-level): ~15%.</w:t>
      </w:r>
      <w:r>
        <w:br/>
      </w:r>
    </w:p>
    <w:p w14:paraId="0B61E6F2" w14:textId="02CF8939" w:rsidR="009760F8" w:rsidRDefault="001909C0" w:rsidP="0054767E">
      <w:r w:rsidRPr="001909C0">
        <w:rPr>
          <w:noProof/>
        </w:rPr>
        <w:drawing>
          <wp:inline distT="0" distB="0" distL="0" distR="0" wp14:anchorId="6A0FBCE6" wp14:editId="72F928FE">
            <wp:extent cx="5362733" cy="3028950"/>
            <wp:effectExtent l="0" t="0" r="9525" b="0"/>
            <wp:docPr id="840454890" name="Picture 1" descr="A green squar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54890" name="Picture 1" descr="A green square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589" cy="30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5: _Profit Margin by Department</w:t>
      </w:r>
      <w:r>
        <w:br/>
      </w:r>
      <w:r>
        <w:lastRenderedPageBreak/>
        <w:t>6. Recommendations (Top Priorities)</w:t>
      </w:r>
      <w:r>
        <w:br/>
        <w:t>1. Operational: Target bed occupancy to 75% through demand smoothing and referral management.</w:t>
      </w:r>
      <w:r>
        <w:br/>
        <w:t>2. Workforce: Implement shift-optimization algorithms and cross-training programs.</w:t>
      </w:r>
      <w:r>
        <w:br/>
        <w:t>3. Clinical: Establish surgeon scorecards and post-op care bundles for high-complication procedures.</w:t>
      </w:r>
      <w:r>
        <w:br/>
        <w:t>4. Financial: Review billing and payer negotiation strategies; prioritize high-margin services.</w:t>
      </w:r>
      <w:r>
        <w:br/>
      </w:r>
      <w:r>
        <w:br/>
        <w:t>Appendix — Key KPIs</w:t>
      </w:r>
      <w:r>
        <w:br/>
        <w:t xml:space="preserve">- Total Admissions: </w:t>
      </w:r>
      <w:r w:rsidR="00271B76">
        <w:t>60,000</w:t>
      </w:r>
      <w:r>
        <w:br/>
        <w:t xml:space="preserve">- Total Surgeries: </w:t>
      </w:r>
      <w:r w:rsidR="00271B76">
        <w:t>12,000</w:t>
      </w:r>
      <w:r>
        <w:br/>
        <w:t xml:space="preserve">- Avg Bed Occupancy (%): </w:t>
      </w:r>
      <w:r w:rsidR="00271B76">
        <w:t>59.72%</w:t>
      </w:r>
      <w:r>
        <w:br/>
        <w:t xml:space="preserve">- Avg Staff Utilization (%): </w:t>
      </w:r>
      <w:r w:rsidR="00271B76">
        <w:t>62.70%</w:t>
      </w:r>
      <w:r>
        <w:br/>
        <w:t xml:space="preserve">- Avg Profit Margin (%): </w:t>
      </w:r>
      <w:r w:rsidR="00271B76">
        <w:t>14.87%</w:t>
      </w:r>
      <w:r>
        <w:br/>
      </w:r>
    </w:p>
    <w:sectPr w:rsidR="009760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365768">
    <w:abstractNumId w:val="8"/>
  </w:num>
  <w:num w:numId="2" w16cid:durableId="500584260">
    <w:abstractNumId w:val="6"/>
  </w:num>
  <w:num w:numId="3" w16cid:durableId="1271277800">
    <w:abstractNumId w:val="5"/>
  </w:num>
  <w:num w:numId="4" w16cid:durableId="1602377514">
    <w:abstractNumId w:val="4"/>
  </w:num>
  <w:num w:numId="5" w16cid:durableId="1142581360">
    <w:abstractNumId w:val="7"/>
  </w:num>
  <w:num w:numId="6" w16cid:durableId="1467157870">
    <w:abstractNumId w:val="3"/>
  </w:num>
  <w:num w:numId="7" w16cid:durableId="816453114">
    <w:abstractNumId w:val="2"/>
  </w:num>
  <w:num w:numId="8" w16cid:durableId="1663776513">
    <w:abstractNumId w:val="1"/>
  </w:num>
  <w:num w:numId="9" w16cid:durableId="175559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4D"/>
    <w:rsid w:val="00034616"/>
    <w:rsid w:val="0006063C"/>
    <w:rsid w:val="00071FEB"/>
    <w:rsid w:val="0015074B"/>
    <w:rsid w:val="001909C0"/>
    <w:rsid w:val="001B3EBD"/>
    <w:rsid w:val="00271B76"/>
    <w:rsid w:val="0029639D"/>
    <w:rsid w:val="00326F90"/>
    <w:rsid w:val="0054767E"/>
    <w:rsid w:val="00653D3C"/>
    <w:rsid w:val="006C5672"/>
    <w:rsid w:val="008E7B1B"/>
    <w:rsid w:val="009760F8"/>
    <w:rsid w:val="00A010AF"/>
    <w:rsid w:val="00AA1D8D"/>
    <w:rsid w:val="00B47730"/>
    <w:rsid w:val="00CB0664"/>
    <w:rsid w:val="00E64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70EDA"/>
  <w14:defaultImageDpi w14:val="300"/>
  <w15:docId w15:val="{BA70BFA8-904A-4084-BD44-5D8F00B4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321</Words>
  <Characters>1907</Characters>
  <Application>Microsoft Office Word</Application>
  <DocSecurity>0</DocSecurity>
  <Lines>45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 SINGH</cp:lastModifiedBy>
  <cp:revision>5</cp:revision>
  <dcterms:created xsi:type="dcterms:W3CDTF">2013-12-23T23:15:00Z</dcterms:created>
  <dcterms:modified xsi:type="dcterms:W3CDTF">2025-11-01T06:48:00Z</dcterms:modified>
  <cp:category/>
</cp:coreProperties>
</file>