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C01EC" w14:textId="77777777" w:rsidR="00C110C2" w:rsidRDefault="00C110C2" w:rsidP="00C110C2">
      <w:pPr>
        <w:pStyle w:val="Heading1"/>
        <w:spacing w:before="67"/>
        <w:ind w:left="503" w:right="401"/>
        <w:jc w:val="center"/>
      </w:pPr>
      <w:r>
        <w:rPr>
          <w:spacing w:val="-2"/>
        </w:rPr>
        <w:t>REFERENCES</w:t>
      </w:r>
    </w:p>
    <w:p w14:paraId="27B2A236" w14:textId="77777777" w:rsidR="00C110C2" w:rsidRDefault="00C110C2" w:rsidP="00C110C2">
      <w:pPr>
        <w:pStyle w:val="ListParagraph"/>
        <w:numPr>
          <w:ilvl w:val="0"/>
          <w:numId w:val="1"/>
        </w:numPr>
        <w:tabs>
          <w:tab w:val="left" w:pos="601"/>
        </w:tabs>
        <w:spacing w:before="317"/>
        <w:ind w:right="288" w:firstLine="0"/>
        <w:contextualSpacing w:val="0"/>
        <w:jc w:val="both"/>
        <w:rPr>
          <w:sz w:val="24"/>
        </w:rPr>
      </w:pPr>
      <w:r>
        <w:rPr>
          <w:sz w:val="24"/>
        </w:rPr>
        <w:t>Parth</w:t>
      </w:r>
      <w:r>
        <w:rPr>
          <w:spacing w:val="-15"/>
          <w:sz w:val="24"/>
        </w:rPr>
        <w:t xml:space="preserve"> </w:t>
      </w:r>
      <w:r>
        <w:rPr>
          <w:sz w:val="24"/>
        </w:rPr>
        <w:t>Parekh,</w:t>
      </w:r>
      <w:r>
        <w:rPr>
          <w:spacing w:val="-15"/>
          <w:sz w:val="24"/>
        </w:rPr>
        <w:t xml:space="preserve"> </w:t>
      </w:r>
      <w:r>
        <w:rPr>
          <w:sz w:val="24"/>
        </w:rPr>
        <w:t>Fei</w:t>
      </w:r>
      <w:r>
        <w:rPr>
          <w:spacing w:val="-15"/>
          <w:sz w:val="24"/>
        </w:rPr>
        <w:t xml:space="preserve"> </w:t>
      </w:r>
      <w:r>
        <w:rPr>
          <w:sz w:val="24"/>
        </w:rPr>
        <w:t>Yuan,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Yushi</w:t>
      </w:r>
      <w:r>
        <w:rPr>
          <w:spacing w:val="-15"/>
          <w:sz w:val="24"/>
        </w:rPr>
        <w:t xml:space="preserve"> </w:t>
      </w:r>
      <w:r>
        <w:rPr>
          <w:sz w:val="24"/>
        </w:rPr>
        <w:t>Zhou,</w:t>
      </w:r>
      <w:r>
        <w:rPr>
          <w:spacing w:val="-15"/>
          <w:sz w:val="24"/>
        </w:rPr>
        <w:t xml:space="preserve"> </w:t>
      </w:r>
      <w:r>
        <w:rPr>
          <w:sz w:val="24"/>
        </w:rPr>
        <w:t>"Improved</w:t>
      </w:r>
      <w:r>
        <w:rPr>
          <w:spacing w:val="-15"/>
          <w:sz w:val="24"/>
        </w:rPr>
        <w:t xml:space="preserve"> </w:t>
      </w:r>
      <w:r>
        <w:rPr>
          <w:sz w:val="24"/>
        </w:rPr>
        <w:t>Metastability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True</w:t>
      </w:r>
      <w:r>
        <w:rPr>
          <w:spacing w:val="-15"/>
          <w:sz w:val="24"/>
        </w:rPr>
        <w:t xml:space="preserve"> </w:t>
      </w:r>
      <w:r>
        <w:rPr>
          <w:sz w:val="24"/>
        </w:rPr>
        <w:t>Single-Phase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Clock D-Flipflops </w:t>
      </w:r>
      <w:proofErr w:type="gramStart"/>
      <w:r>
        <w:rPr>
          <w:sz w:val="24"/>
        </w:rPr>
        <w:t>With</w:t>
      </w:r>
      <w:proofErr w:type="gramEnd"/>
      <w:r>
        <w:rPr>
          <w:sz w:val="24"/>
        </w:rPr>
        <w:t xml:space="preserve"> Applications in Vernier Time-to-Digital Converters," IEEE Transactions on Circuits and Systems—I: Regular Papers, vol. 69, no. 3, pp. 1102-1114, March </w:t>
      </w:r>
      <w:proofErr w:type="gramStart"/>
      <w:r>
        <w:rPr>
          <w:sz w:val="24"/>
        </w:rPr>
        <w:t>2022..</w:t>
      </w:r>
      <w:proofErr w:type="gramEnd"/>
    </w:p>
    <w:p w14:paraId="0B05C58A" w14:textId="77777777" w:rsidR="00C110C2" w:rsidRDefault="00C110C2" w:rsidP="00C110C2">
      <w:pPr>
        <w:pStyle w:val="ListParagraph"/>
        <w:numPr>
          <w:ilvl w:val="0"/>
          <w:numId w:val="1"/>
        </w:numPr>
        <w:tabs>
          <w:tab w:val="left" w:pos="558"/>
        </w:tabs>
        <w:spacing w:before="204"/>
        <w:ind w:right="295" w:firstLine="0"/>
        <w:contextualSpacing w:val="0"/>
        <w:jc w:val="both"/>
        <w:rPr>
          <w:sz w:val="24"/>
        </w:rPr>
      </w:pPr>
      <w:r>
        <w:rPr>
          <w:sz w:val="24"/>
        </w:rPr>
        <w:t xml:space="preserve">Parekh, </w:t>
      </w:r>
      <w:proofErr w:type="gramStart"/>
      <w:r>
        <w:rPr>
          <w:sz w:val="24"/>
        </w:rPr>
        <w:t>P.,F.</w:t>
      </w:r>
      <w:proofErr w:type="gramEnd"/>
      <w:r>
        <w:rPr>
          <w:sz w:val="24"/>
        </w:rPr>
        <w:t xml:space="preserve"> Yuan, and Y. </w:t>
      </w:r>
      <w:proofErr w:type="spellStart"/>
      <w:r>
        <w:rPr>
          <w:sz w:val="24"/>
        </w:rPr>
        <w:t>Zhou."Area</w:t>
      </w:r>
      <w:proofErr w:type="spellEnd"/>
      <w:r>
        <w:rPr>
          <w:sz w:val="24"/>
        </w:rPr>
        <w:t xml:space="preserve">/Power-Efficient True-Single Phase-Clock D-Flip- Flops with Improved Meta stability." Proceedings of the IEEE International </w:t>
      </w:r>
      <w:proofErr w:type="spellStart"/>
      <w:r>
        <w:rPr>
          <w:sz w:val="24"/>
        </w:rPr>
        <w:t>Mid west</w:t>
      </w:r>
      <w:proofErr w:type="spellEnd"/>
      <w:r>
        <w:rPr>
          <w:sz w:val="24"/>
        </w:rPr>
        <w:t xml:space="preserve"> Symposium on Circuits and </w:t>
      </w:r>
      <w:proofErr w:type="gramStart"/>
      <w:r>
        <w:rPr>
          <w:sz w:val="24"/>
        </w:rPr>
        <w:t>Systems(</w:t>
      </w:r>
      <w:proofErr w:type="gramEnd"/>
      <w:r>
        <w:rPr>
          <w:sz w:val="24"/>
        </w:rPr>
        <w:t>MWSCAS), Aug. 2020, pp. 182-185</w:t>
      </w:r>
    </w:p>
    <w:p w14:paraId="77780364" w14:textId="77777777" w:rsidR="00C110C2" w:rsidRDefault="00C110C2" w:rsidP="00C110C2">
      <w:pPr>
        <w:pStyle w:val="BodyText"/>
        <w:spacing w:before="2"/>
      </w:pPr>
    </w:p>
    <w:p w14:paraId="5226FF60" w14:textId="77777777" w:rsidR="00C110C2" w:rsidRDefault="00C110C2" w:rsidP="00C110C2">
      <w:pPr>
        <w:pStyle w:val="BodyText"/>
        <w:spacing w:before="1" w:line="237" w:lineRule="auto"/>
        <w:ind w:left="282" w:right="290"/>
        <w:jc w:val="both"/>
      </w:pPr>
      <w:r>
        <w:t>[</w:t>
      </w:r>
      <w:proofErr w:type="gramStart"/>
      <w:r>
        <w:t>3]T.</w:t>
      </w:r>
      <w:proofErr w:type="gramEnd"/>
      <w:r>
        <w:t xml:space="preserve"> Tekeste, H. Saleh, B. Mohammad, and M. Ismail, “Ultra-low power QRS detection and ECG compression architecture for IoT healthcare devices,” IEEE Trans. Circuits Syst. I, Reg. Papers, vol. 66, no. 2, pp. 669–679, Feb. 2019.</w:t>
      </w:r>
    </w:p>
    <w:p w14:paraId="3D1FDD04" w14:textId="77777777" w:rsidR="00C110C2" w:rsidRDefault="00C110C2" w:rsidP="00C110C2">
      <w:pPr>
        <w:pStyle w:val="BodyText"/>
        <w:spacing w:before="1"/>
      </w:pPr>
    </w:p>
    <w:p w14:paraId="0A6EC5D0" w14:textId="77777777" w:rsidR="00C110C2" w:rsidRDefault="00C110C2" w:rsidP="00C110C2">
      <w:pPr>
        <w:pStyle w:val="BodyText"/>
        <w:ind w:left="282" w:right="284"/>
        <w:jc w:val="both"/>
      </w:pPr>
      <w:r>
        <w:t>[</w:t>
      </w:r>
      <w:proofErr w:type="gramStart"/>
      <w:r>
        <w:t>4]A.</w:t>
      </w:r>
      <w:proofErr w:type="gramEnd"/>
      <w:r>
        <w:t xml:space="preserve"> </w:t>
      </w:r>
      <w:proofErr w:type="spellStart"/>
      <w:r>
        <w:t>Pullini</w:t>
      </w:r>
      <w:proofErr w:type="spellEnd"/>
      <w:r>
        <w:t xml:space="preserve">, D. Rossi, I. Loi, G. </w:t>
      </w:r>
      <w:proofErr w:type="spellStart"/>
      <w:r>
        <w:t>Tagliavini</w:t>
      </w:r>
      <w:proofErr w:type="spellEnd"/>
      <w:r>
        <w:t>, and L. Benini, “Mr. Wolf: An energy-precision scalable</w:t>
      </w:r>
      <w:r>
        <w:rPr>
          <w:spacing w:val="-15"/>
        </w:rPr>
        <w:t xml:space="preserve"> </w:t>
      </w:r>
      <w:r>
        <w:t>parallel</w:t>
      </w:r>
      <w:r>
        <w:rPr>
          <w:spacing w:val="-15"/>
        </w:rPr>
        <w:t xml:space="preserve"> </w:t>
      </w:r>
      <w:proofErr w:type="spellStart"/>
      <w:r>
        <w:t>ultra</w:t>
      </w:r>
      <w:r>
        <w:rPr>
          <w:spacing w:val="-5"/>
        </w:rPr>
        <w:t xml:space="preserve"> </w:t>
      </w:r>
      <w:r>
        <w:t>low</w:t>
      </w:r>
      <w:proofErr w:type="spellEnd"/>
      <w:r>
        <w:rPr>
          <w:spacing w:val="-8"/>
        </w:rPr>
        <w:t xml:space="preserve"> </w:t>
      </w:r>
      <w:r>
        <w:t>power</w:t>
      </w:r>
      <w:r>
        <w:rPr>
          <w:spacing w:val="-10"/>
        </w:rPr>
        <w:t xml:space="preserve"> </w:t>
      </w:r>
      <w:r>
        <w:t>SoC</w:t>
      </w:r>
      <w:r>
        <w:rPr>
          <w:spacing w:val="-13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IoT</w:t>
      </w:r>
      <w:r>
        <w:rPr>
          <w:spacing w:val="-5"/>
        </w:rPr>
        <w:t xml:space="preserve"> </w:t>
      </w:r>
      <w:r>
        <w:t>edge</w:t>
      </w:r>
      <w:r>
        <w:rPr>
          <w:spacing w:val="-15"/>
        </w:rPr>
        <w:t xml:space="preserve"> </w:t>
      </w:r>
      <w:r>
        <w:t>processing,”</w:t>
      </w:r>
      <w:r>
        <w:rPr>
          <w:spacing w:val="-3"/>
        </w:rPr>
        <w:t xml:space="preserve"> </w:t>
      </w:r>
      <w:r>
        <w:t>IEEE</w:t>
      </w:r>
      <w:r>
        <w:rPr>
          <w:spacing w:val="-9"/>
        </w:rPr>
        <w:t xml:space="preserve"> </w:t>
      </w:r>
      <w:r>
        <w:t>J.</w:t>
      </w:r>
      <w:r>
        <w:rPr>
          <w:spacing w:val="-10"/>
        </w:rPr>
        <w:t xml:space="preserve"> </w:t>
      </w:r>
      <w:r>
        <w:t>Solid-State</w:t>
      </w:r>
      <w:r>
        <w:rPr>
          <w:spacing w:val="-11"/>
        </w:rPr>
        <w:t xml:space="preserve"> </w:t>
      </w:r>
      <w:r>
        <w:t>Circuits, vol. 54, no. 7, pp. 1970–1981, Jul. 2019.</w:t>
      </w:r>
    </w:p>
    <w:p w14:paraId="56A76A7E" w14:textId="77777777" w:rsidR="00C110C2" w:rsidRDefault="00C110C2" w:rsidP="00C110C2">
      <w:pPr>
        <w:pStyle w:val="BodyText"/>
        <w:spacing w:before="5"/>
      </w:pPr>
    </w:p>
    <w:p w14:paraId="6FAD4ADF" w14:textId="77777777" w:rsidR="00C110C2" w:rsidRDefault="00C110C2" w:rsidP="00C110C2">
      <w:pPr>
        <w:ind w:left="282" w:right="286"/>
        <w:jc w:val="both"/>
        <w:rPr>
          <w:sz w:val="24"/>
        </w:rPr>
      </w:pPr>
      <w:r>
        <w:rPr>
          <w:sz w:val="24"/>
        </w:rPr>
        <w:t>[</w:t>
      </w:r>
      <w:proofErr w:type="gramStart"/>
      <w:r>
        <w:rPr>
          <w:sz w:val="24"/>
        </w:rPr>
        <w:t>5]Krishna</w:t>
      </w:r>
      <w:proofErr w:type="gramEnd"/>
      <w:r>
        <w:rPr>
          <w:sz w:val="24"/>
        </w:rPr>
        <w:t xml:space="preserve">, M. </w:t>
      </w:r>
      <w:proofErr w:type="gramStart"/>
      <w:r>
        <w:rPr>
          <w:sz w:val="24"/>
        </w:rPr>
        <w:t>V.,M.</w:t>
      </w:r>
      <w:proofErr w:type="gramEnd"/>
      <w:r>
        <w:rPr>
          <w:sz w:val="24"/>
        </w:rPr>
        <w:t xml:space="preserve"> A. Do, K. S. Yeo, C. C. Boon, and W.M. Lim. "Design and Analysis of Ultra</w:t>
      </w:r>
      <w:r>
        <w:rPr>
          <w:spacing w:val="-15"/>
          <w:sz w:val="24"/>
        </w:rPr>
        <w:t xml:space="preserve"> </w:t>
      </w:r>
      <w:r>
        <w:rPr>
          <w:sz w:val="24"/>
        </w:rPr>
        <w:t>Low</w:t>
      </w:r>
      <w:r>
        <w:rPr>
          <w:spacing w:val="-15"/>
          <w:sz w:val="24"/>
        </w:rPr>
        <w:t xml:space="preserve"> </w:t>
      </w:r>
      <w:r>
        <w:rPr>
          <w:sz w:val="24"/>
        </w:rPr>
        <w:t>Power</w:t>
      </w:r>
      <w:r>
        <w:rPr>
          <w:spacing w:val="-15"/>
          <w:sz w:val="24"/>
        </w:rPr>
        <w:t xml:space="preserve"> </w:t>
      </w:r>
      <w:r>
        <w:rPr>
          <w:sz w:val="24"/>
        </w:rPr>
        <w:t>True</w:t>
      </w:r>
      <w:r>
        <w:rPr>
          <w:spacing w:val="-15"/>
          <w:sz w:val="24"/>
        </w:rPr>
        <w:t xml:space="preserve"> </w:t>
      </w:r>
      <w:r>
        <w:rPr>
          <w:sz w:val="24"/>
        </w:rPr>
        <w:t>Single</w:t>
      </w:r>
      <w:r>
        <w:rPr>
          <w:spacing w:val="-15"/>
          <w:sz w:val="24"/>
        </w:rPr>
        <w:t xml:space="preserve"> </w:t>
      </w:r>
      <w:r>
        <w:rPr>
          <w:sz w:val="24"/>
        </w:rPr>
        <w:t>Phase</w:t>
      </w:r>
      <w:r>
        <w:rPr>
          <w:spacing w:val="-12"/>
          <w:sz w:val="24"/>
        </w:rPr>
        <w:t xml:space="preserve"> </w:t>
      </w:r>
      <w:r>
        <w:rPr>
          <w:sz w:val="24"/>
        </w:rPr>
        <w:t>Clock</w:t>
      </w:r>
      <w:r>
        <w:rPr>
          <w:spacing w:val="-12"/>
          <w:sz w:val="24"/>
        </w:rPr>
        <w:t xml:space="preserve"> </w:t>
      </w:r>
      <w:r>
        <w:rPr>
          <w:sz w:val="24"/>
        </w:rPr>
        <w:t>CMOS</w:t>
      </w:r>
      <w:r>
        <w:rPr>
          <w:spacing w:val="-7"/>
          <w:sz w:val="24"/>
        </w:rPr>
        <w:t xml:space="preserve"> </w:t>
      </w:r>
      <w:r>
        <w:rPr>
          <w:sz w:val="24"/>
        </w:rPr>
        <w:t>2/3</w:t>
      </w:r>
      <w:r>
        <w:rPr>
          <w:spacing w:val="-7"/>
          <w:sz w:val="24"/>
        </w:rPr>
        <w:t xml:space="preserve"> </w:t>
      </w:r>
      <w:r>
        <w:rPr>
          <w:sz w:val="24"/>
        </w:rPr>
        <w:t>Pre</w:t>
      </w:r>
      <w:r>
        <w:rPr>
          <w:spacing w:val="-15"/>
          <w:sz w:val="24"/>
        </w:rPr>
        <w:t xml:space="preserve"> </w:t>
      </w:r>
      <w:r>
        <w:rPr>
          <w:sz w:val="24"/>
        </w:rPr>
        <w:t>scaler."</w:t>
      </w:r>
      <w:r>
        <w:rPr>
          <w:spacing w:val="-9"/>
          <w:sz w:val="24"/>
        </w:rPr>
        <w:t xml:space="preserve"> </w:t>
      </w:r>
      <w:r>
        <w:rPr>
          <w:i/>
          <w:sz w:val="24"/>
        </w:rPr>
        <w:t>IEEE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Transactions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 xml:space="preserve">Circuits and Systems </w:t>
      </w:r>
      <w:proofErr w:type="gramStart"/>
      <w:r>
        <w:rPr>
          <w:i/>
          <w:sz w:val="24"/>
        </w:rPr>
        <w:t>I:Regular</w:t>
      </w:r>
      <w:proofErr w:type="gramEnd"/>
      <w:r>
        <w:rPr>
          <w:i/>
          <w:sz w:val="24"/>
        </w:rPr>
        <w:t xml:space="preserve"> Papers</w:t>
      </w:r>
      <w:r>
        <w:rPr>
          <w:sz w:val="24"/>
        </w:rPr>
        <w:t>, vol. 57, no. 1, Jan. 2010, pp. 72-82.</w:t>
      </w:r>
    </w:p>
    <w:p w14:paraId="661E4AD0" w14:textId="77777777" w:rsidR="00C110C2" w:rsidRDefault="00C110C2" w:rsidP="00C110C2">
      <w:pPr>
        <w:pStyle w:val="BodyText"/>
        <w:spacing w:before="1"/>
      </w:pPr>
    </w:p>
    <w:p w14:paraId="33290CDE" w14:textId="77777777" w:rsidR="00C110C2" w:rsidRDefault="00C110C2" w:rsidP="00C110C2">
      <w:pPr>
        <w:pStyle w:val="BodyText"/>
        <w:ind w:left="282" w:right="274"/>
        <w:jc w:val="both"/>
      </w:pPr>
      <w:r>
        <w:t>[</w:t>
      </w:r>
      <w:proofErr w:type="gramStart"/>
      <w:r>
        <w:t>6]J.</w:t>
      </w:r>
      <w:proofErr w:type="gramEnd"/>
      <w:r>
        <w:rPr>
          <w:spacing w:val="-13"/>
        </w:rPr>
        <w:t xml:space="preserve"> </w:t>
      </w:r>
      <w:r>
        <w:t>P.</w:t>
      </w:r>
      <w:r>
        <w:rPr>
          <w:spacing w:val="-11"/>
        </w:rPr>
        <w:t xml:space="preserve"> </w:t>
      </w:r>
      <w:r>
        <w:t>Cerqueira,</w:t>
      </w:r>
      <w:r>
        <w:rPr>
          <w:spacing w:val="-5"/>
        </w:rPr>
        <w:t xml:space="preserve"> </w:t>
      </w:r>
      <w:r>
        <w:t>T.</w:t>
      </w:r>
      <w:r>
        <w:rPr>
          <w:spacing w:val="-11"/>
        </w:rPr>
        <w:t xml:space="preserve"> </w:t>
      </w:r>
      <w:r>
        <w:t>J.</w:t>
      </w:r>
      <w:r>
        <w:rPr>
          <w:spacing w:val="-11"/>
        </w:rPr>
        <w:t xml:space="preserve"> </w:t>
      </w:r>
      <w:r>
        <w:t>Repetti,</w:t>
      </w:r>
      <w:r>
        <w:rPr>
          <w:spacing w:val="-2"/>
        </w:rPr>
        <w:t xml:space="preserve"> </w:t>
      </w:r>
      <w:r>
        <w:t>Y.</w:t>
      </w:r>
      <w:r>
        <w:rPr>
          <w:spacing w:val="-15"/>
        </w:rPr>
        <w:t xml:space="preserve"> </w:t>
      </w:r>
      <w:r>
        <w:t>Pu,</w:t>
      </w:r>
      <w:r>
        <w:rPr>
          <w:spacing w:val="-11"/>
        </w:rPr>
        <w:t xml:space="preserve"> </w:t>
      </w:r>
      <w:r>
        <w:t>S.</w:t>
      </w:r>
      <w:r>
        <w:rPr>
          <w:spacing w:val="-15"/>
        </w:rPr>
        <w:t xml:space="preserve"> </w:t>
      </w:r>
      <w:r>
        <w:t>Priyadarshi,</w:t>
      </w:r>
      <w:r>
        <w:rPr>
          <w:spacing w:val="-1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A.</w:t>
      </w:r>
      <w:r>
        <w:rPr>
          <w:spacing w:val="-7"/>
        </w:rPr>
        <w:t xml:space="preserve"> </w:t>
      </w:r>
      <w:r>
        <w:t>Kim,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M.</w:t>
      </w:r>
      <w:r>
        <w:rPr>
          <w:spacing w:val="-3"/>
        </w:rPr>
        <w:t xml:space="preserve"> </w:t>
      </w:r>
      <w:r>
        <w:t>Seok,</w:t>
      </w:r>
      <w:r>
        <w:rPr>
          <w:spacing w:val="-11"/>
        </w:rPr>
        <w:t xml:space="preserve"> </w:t>
      </w:r>
      <w:r>
        <w:t>“Catena:</w:t>
      </w:r>
      <w:r>
        <w:rPr>
          <w:spacing w:val="-8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near- threshold, sub-0.4-mW, 16-core programmable spatial array accelerator for the ultralow-power mobile</w:t>
      </w:r>
      <w:r>
        <w:rPr>
          <w:spacing w:val="-1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embedded</w:t>
      </w:r>
      <w:r>
        <w:rPr>
          <w:spacing w:val="-6"/>
        </w:rPr>
        <w:t xml:space="preserve"> </w:t>
      </w:r>
      <w:r>
        <w:t>Internet of</w:t>
      </w:r>
      <w:r>
        <w:rPr>
          <w:spacing w:val="-15"/>
        </w:rPr>
        <w:t xml:space="preserve"> </w:t>
      </w:r>
      <w:r>
        <w:t>Things,”</w:t>
      </w:r>
      <w:r>
        <w:rPr>
          <w:spacing w:val="-7"/>
        </w:rPr>
        <w:t xml:space="preserve"> </w:t>
      </w:r>
      <w:r>
        <w:t>IEEE</w:t>
      </w:r>
      <w:r>
        <w:rPr>
          <w:spacing w:val="-4"/>
        </w:rPr>
        <w:t xml:space="preserve"> </w:t>
      </w:r>
      <w:r>
        <w:t>J.</w:t>
      </w:r>
      <w:r>
        <w:rPr>
          <w:spacing w:val="-15"/>
        </w:rPr>
        <w:t xml:space="preserve"> </w:t>
      </w:r>
      <w:r>
        <w:t>Solid-State</w:t>
      </w:r>
      <w:r>
        <w:rPr>
          <w:spacing w:val="-11"/>
        </w:rPr>
        <w:t xml:space="preserve"> </w:t>
      </w:r>
      <w:r>
        <w:t>Circuits, vol. 55, no. 8, pp. 2270– 2284, Aug. 2020.</w:t>
      </w:r>
    </w:p>
    <w:p w14:paraId="48DF6B6D" w14:textId="77777777" w:rsidR="00C110C2" w:rsidRDefault="00C110C2" w:rsidP="00C110C2">
      <w:pPr>
        <w:pStyle w:val="BodyText"/>
        <w:spacing w:before="257" w:line="237" w:lineRule="auto"/>
        <w:ind w:left="282" w:right="299"/>
        <w:jc w:val="both"/>
      </w:pPr>
      <w:r>
        <w:t>[</w:t>
      </w:r>
      <w:proofErr w:type="gramStart"/>
      <w:r>
        <w:t>7]J.</w:t>
      </w:r>
      <w:proofErr w:type="gramEnd"/>
      <w:r>
        <w:rPr>
          <w:spacing w:val="-14"/>
        </w:rPr>
        <w:t xml:space="preserve"> </w:t>
      </w:r>
      <w:r>
        <w:t>L.</w:t>
      </w:r>
      <w:r>
        <w:rPr>
          <w:spacing w:val="-9"/>
        </w:rPr>
        <w:t xml:space="preserve"> </w:t>
      </w:r>
      <w:r>
        <w:t>Shin</w:t>
      </w:r>
      <w:r>
        <w:rPr>
          <w:spacing w:val="-15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al., “The</w:t>
      </w:r>
      <w:r>
        <w:rPr>
          <w:spacing w:val="-8"/>
        </w:rPr>
        <w:t xml:space="preserve"> </w:t>
      </w:r>
      <w:r>
        <w:t>next generation</w:t>
      </w:r>
      <w:r>
        <w:rPr>
          <w:spacing w:val="-15"/>
        </w:rPr>
        <w:t xml:space="preserve"> </w:t>
      </w:r>
      <w:r>
        <w:t>64b</w:t>
      </w:r>
      <w:r>
        <w:rPr>
          <w:spacing w:val="-15"/>
        </w:rPr>
        <w:t xml:space="preserve"> </w:t>
      </w:r>
      <w:r>
        <w:t>SPARC</w:t>
      </w:r>
      <w:r>
        <w:rPr>
          <w:spacing w:val="-8"/>
        </w:rPr>
        <w:t xml:space="preserve"> </w:t>
      </w:r>
      <w:r>
        <w:t>core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T4</w:t>
      </w:r>
      <w:r>
        <w:rPr>
          <w:spacing w:val="-7"/>
        </w:rPr>
        <w:t xml:space="preserve"> </w:t>
      </w:r>
      <w:r>
        <w:t>SoC</w:t>
      </w:r>
      <w:r>
        <w:rPr>
          <w:spacing w:val="-15"/>
        </w:rPr>
        <w:t xml:space="preserve"> </w:t>
      </w:r>
      <w:r>
        <w:t>processor,”</w:t>
      </w:r>
      <w:r>
        <w:rPr>
          <w:spacing w:val="-15"/>
        </w:rPr>
        <w:t xml:space="preserve"> </w:t>
      </w:r>
      <w:r>
        <w:t>IEEE</w:t>
      </w:r>
      <w:r>
        <w:rPr>
          <w:spacing w:val="-9"/>
        </w:rPr>
        <w:t xml:space="preserve"> </w:t>
      </w:r>
      <w:r>
        <w:t>J.</w:t>
      </w:r>
      <w:r>
        <w:rPr>
          <w:spacing w:val="-6"/>
        </w:rPr>
        <w:t xml:space="preserve"> </w:t>
      </w:r>
      <w:r>
        <w:t>Solid- State Circuits, vol. 48, no. 1, pp. 82–90, Jan. 2013.</w:t>
      </w:r>
    </w:p>
    <w:p w14:paraId="3E291914" w14:textId="77777777" w:rsidR="00C110C2" w:rsidRDefault="00C110C2" w:rsidP="00C110C2">
      <w:pPr>
        <w:pStyle w:val="BodyText"/>
        <w:spacing w:before="1"/>
      </w:pPr>
    </w:p>
    <w:p w14:paraId="49B3DDFF" w14:textId="77777777" w:rsidR="00C110C2" w:rsidRDefault="00C110C2" w:rsidP="00C110C2">
      <w:pPr>
        <w:pStyle w:val="BodyText"/>
        <w:ind w:left="282" w:right="293"/>
        <w:jc w:val="both"/>
      </w:pPr>
      <w:r>
        <w:t>[</w:t>
      </w:r>
      <w:proofErr w:type="gramStart"/>
      <w:r>
        <w:t>8]L.</w:t>
      </w:r>
      <w:proofErr w:type="gramEnd"/>
      <w:r>
        <w:rPr>
          <w:spacing w:val="-1"/>
        </w:rPr>
        <w:t xml:space="preserve"> </w:t>
      </w:r>
      <w:r>
        <w:t>Moreau,</w:t>
      </w:r>
      <w:r>
        <w:rPr>
          <w:spacing w:val="-5"/>
        </w:rPr>
        <w:t xml:space="preserve"> </w:t>
      </w:r>
      <w:r>
        <w:t>R.</w:t>
      </w:r>
      <w:r>
        <w:rPr>
          <w:spacing w:val="-1"/>
        </w:rPr>
        <w:t xml:space="preserve"> </w:t>
      </w:r>
      <w:r>
        <w:t>Dekimpe, and D.</w:t>
      </w:r>
      <w:r>
        <w:rPr>
          <w:spacing w:val="-2"/>
        </w:rPr>
        <w:t xml:space="preserve"> </w:t>
      </w:r>
      <w:r>
        <w:t>Bol, “A</w:t>
      </w:r>
      <w:r>
        <w:rPr>
          <w:spacing w:val="-12"/>
        </w:rPr>
        <w:t xml:space="preserve"> </w:t>
      </w:r>
      <w:r>
        <w:t>0.4 V</w:t>
      </w:r>
      <w:r>
        <w:rPr>
          <w:spacing w:val="-8"/>
        </w:rPr>
        <w:t xml:space="preserve"> </w:t>
      </w:r>
      <w:r>
        <w:t>0.5fJ/cycle</w:t>
      </w:r>
      <w:r>
        <w:rPr>
          <w:spacing w:val="-4"/>
        </w:rPr>
        <w:t xml:space="preserve"> </w:t>
      </w:r>
      <w:r>
        <w:t>TSPC</w:t>
      </w:r>
      <w:r>
        <w:rPr>
          <w:spacing w:val="-4"/>
        </w:rPr>
        <w:t xml:space="preserve"> </w:t>
      </w:r>
      <w:r>
        <w:t>flipflop in</w:t>
      </w:r>
      <w:r>
        <w:rPr>
          <w:spacing w:val="-6"/>
        </w:rPr>
        <w:t xml:space="preserve"> </w:t>
      </w:r>
      <w:r>
        <w:t>65 nm</w:t>
      </w:r>
      <w:r>
        <w:rPr>
          <w:spacing w:val="-12"/>
        </w:rPr>
        <w:t xml:space="preserve"> </w:t>
      </w:r>
      <w:r>
        <w:t xml:space="preserve">LP CMOS with retention mode controlled by </w:t>
      </w:r>
      <w:proofErr w:type="spellStart"/>
      <w:r>
        <w:t>clockgating</w:t>
      </w:r>
      <w:proofErr w:type="spellEnd"/>
      <w:r>
        <w:t xml:space="preserve"> cells,” in Proc. IEEE Int. Symp. Circuits Syst. (ISCAS), May 2019, pp. 1–4</w:t>
      </w:r>
    </w:p>
    <w:p w14:paraId="14584F4A" w14:textId="77777777" w:rsidR="00C110C2" w:rsidRDefault="00C110C2" w:rsidP="00C110C2">
      <w:pPr>
        <w:pStyle w:val="BodyText"/>
        <w:spacing w:before="1"/>
      </w:pPr>
    </w:p>
    <w:p w14:paraId="1AE68095" w14:textId="77777777" w:rsidR="00C110C2" w:rsidRDefault="00C110C2" w:rsidP="00C110C2">
      <w:pPr>
        <w:pStyle w:val="BodyText"/>
        <w:ind w:left="282" w:right="288"/>
        <w:jc w:val="both"/>
      </w:pPr>
      <w:r>
        <w:t>[</w:t>
      </w:r>
      <w:proofErr w:type="gramStart"/>
      <w:r>
        <w:t>9]A.</w:t>
      </w:r>
      <w:proofErr w:type="gramEnd"/>
      <w:r>
        <w:rPr>
          <w:spacing w:val="-15"/>
        </w:rPr>
        <w:t xml:space="preserve"> </w:t>
      </w:r>
      <w:r>
        <w:t>Andrei,</w:t>
      </w:r>
      <w:r>
        <w:rPr>
          <w:spacing w:val="-15"/>
        </w:rPr>
        <w:t xml:space="preserve"> </w:t>
      </w:r>
      <w:r>
        <w:t>P.</w:t>
      </w:r>
      <w:r>
        <w:rPr>
          <w:spacing w:val="-15"/>
        </w:rPr>
        <w:t xml:space="preserve"> </w:t>
      </w:r>
      <w:r>
        <w:t>Eles,</w:t>
      </w:r>
      <w:r>
        <w:rPr>
          <w:spacing w:val="-15"/>
        </w:rPr>
        <w:t xml:space="preserve"> </w:t>
      </w:r>
      <w:r>
        <w:t>O.</w:t>
      </w:r>
      <w:r>
        <w:rPr>
          <w:spacing w:val="-15"/>
        </w:rPr>
        <w:t xml:space="preserve"> </w:t>
      </w:r>
      <w:r>
        <w:t>Jovanovic,</w:t>
      </w:r>
      <w:r>
        <w:rPr>
          <w:spacing w:val="-15"/>
        </w:rPr>
        <w:t xml:space="preserve"> </w:t>
      </w:r>
      <w:r>
        <w:t>M.</w:t>
      </w:r>
      <w:r>
        <w:rPr>
          <w:spacing w:val="-15"/>
        </w:rPr>
        <w:t xml:space="preserve"> </w:t>
      </w:r>
      <w:r>
        <w:t>Schmitz,</w:t>
      </w:r>
      <w:r>
        <w:rPr>
          <w:spacing w:val="-15"/>
        </w:rPr>
        <w:t xml:space="preserve"> </w:t>
      </w:r>
      <w:r>
        <w:t>J.</w:t>
      </w:r>
      <w:r>
        <w:rPr>
          <w:spacing w:val="-15"/>
        </w:rPr>
        <w:t xml:space="preserve"> </w:t>
      </w:r>
      <w:r>
        <w:t>Ogniewski,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Z.</w:t>
      </w:r>
      <w:r>
        <w:rPr>
          <w:spacing w:val="-15"/>
        </w:rPr>
        <w:t xml:space="preserve"> </w:t>
      </w:r>
      <w:r>
        <w:t>Peng,</w:t>
      </w:r>
      <w:r>
        <w:rPr>
          <w:spacing w:val="-15"/>
        </w:rPr>
        <w:t xml:space="preserve"> </w:t>
      </w:r>
      <w:r>
        <w:t>“Quasi-static</w:t>
      </w:r>
      <w:r>
        <w:rPr>
          <w:spacing w:val="-15"/>
        </w:rPr>
        <w:t xml:space="preserve"> </w:t>
      </w:r>
      <w:r>
        <w:t xml:space="preserve">voltage scaling for energy minimization with time constraints,” IEEE Trans. Very Large Scale </w:t>
      </w:r>
      <w:proofErr w:type="spellStart"/>
      <w:r>
        <w:t>Integr</w:t>
      </w:r>
      <w:proofErr w:type="spellEnd"/>
      <w:r>
        <w:t>. (VLSI) Syst., vol. 19, no. 1, pp. 10–23, Jan. 2011.</w:t>
      </w:r>
    </w:p>
    <w:p w14:paraId="17DF9E89" w14:textId="77777777" w:rsidR="00C110C2" w:rsidRDefault="00C110C2" w:rsidP="00C110C2">
      <w:pPr>
        <w:pStyle w:val="BodyText"/>
        <w:spacing w:before="242"/>
        <w:ind w:left="282" w:right="292"/>
        <w:jc w:val="both"/>
      </w:pPr>
      <w:r>
        <w:t>[</w:t>
      </w:r>
      <w:proofErr w:type="gramStart"/>
      <w:r>
        <w:t>10]X.</w:t>
      </w:r>
      <w:proofErr w:type="gramEnd"/>
      <w:r>
        <w:rPr>
          <w:spacing w:val="-2"/>
        </w:rPr>
        <w:t xml:space="preserve"> </w:t>
      </w:r>
      <w:r>
        <w:t>Zhang</w:t>
      </w:r>
      <w:r>
        <w:rPr>
          <w:spacing w:val="-1"/>
        </w:rPr>
        <w:t xml:space="preserve"> </w:t>
      </w:r>
      <w:r>
        <w:t xml:space="preserve">et al., “32bit×32bit </w:t>
      </w:r>
      <w:proofErr w:type="spellStart"/>
      <w:r>
        <w:t>multiprecision</w:t>
      </w:r>
      <w:proofErr w:type="spellEnd"/>
      <w:r>
        <w:rPr>
          <w:spacing w:val="-4"/>
        </w:rPr>
        <w:t xml:space="preserve"> </w:t>
      </w:r>
      <w:r>
        <w:t>razor-based</w:t>
      </w:r>
      <w:r>
        <w:rPr>
          <w:spacing w:val="-1"/>
        </w:rPr>
        <w:t xml:space="preserve"> </w:t>
      </w:r>
      <w:r>
        <w:t>dynamic</w:t>
      </w:r>
      <w:r>
        <w:rPr>
          <w:spacing w:val="-1"/>
        </w:rPr>
        <w:t xml:space="preserve"> </w:t>
      </w:r>
      <w:r>
        <w:t>voltage</w:t>
      </w:r>
      <w:r>
        <w:rPr>
          <w:spacing w:val="-1"/>
        </w:rPr>
        <w:t xml:space="preserve"> </w:t>
      </w:r>
      <w:r>
        <w:t>scaling multiplier with</w:t>
      </w:r>
      <w:r>
        <w:rPr>
          <w:spacing w:val="-11"/>
        </w:rPr>
        <w:t xml:space="preserve"> </w:t>
      </w:r>
      <w:r>
        <w:t>operands</w:t>
      </w:r>
      <w:r>
        <w:rPr>
          <w:spacing w:val="-5"/>
        </w:rPr>
        <w:t xml:space="preserve"> </w:t>
      </w:r>
      <w:r>
        <w:t>scheduler,”</w:t>
      </w:r>
      <w:r>
        <w:rPr>
          <w:spacing w:val="-3"/>
        </w:rPr>
        <w:t xml:space="preserve"> </w:t>
      </w:r>
      <w:r>
        <w:t>IEEE</w:t>
      </w:r>
      <w:r>
        <w:rPr>
          <w:spacing w:val="-9"/>
        </w:rPr>
        <w:t xml:space="preserve"> </w:t>
      </w:r>
      <w:r>
        <w:t>Trans. Very</w:t>
      </w:r>
      <w:r>
        <w:rPr>
          <w:spacing w:val="-15"/>
        </w:rPr>
        <w:t xml:space="preserve"> </w:t>
      </w:r>
      <w:r>
        <w:t>Large Scale</w:t>
      </w:r>
      <w:r>
        <w:rPr>
          <w:spacing w:val="-2"/>
        </w:rPr>
        <w:t xml:space="preserve"> </w:t>
      </w:r>
      <w:proofErr w:type="spellStart"/>
      <w:r>
        <w:t>Integr</w:t>
      </w:r>
      <w:proofErr w:type="spellEnd"/>
      <w:r>
        <w:t>.</w:t>
      </w:r>
      <w:r>
        <w:rPr>
          <w:spacing w:val="-5"/>
        </w:rPr>
        <w:t xml:space="preserve"> </w:t>
      </w:r>
      <w:r>
        <w:t>(VLSI)</w:t>
      </w:r>
      <w:r>
        <w:rPr>
          <w:spacing w:val="-5"/>
        </w:rPr>
        <w:t xml:space="preserve"> </w:t>
      </w:r>
      <w:r>
        <w:t>Syst.,</w:t>
      </w:r>
      <w:r>
        <w:rPr>
          <w:spacing w:val="-5"/>
        </w:rPr>
        <w:t xml:space="preserve"> </w:t>
      </w:r>
      <w:r>
        <w:t>vol. 22,</w:t>
      </w:r>
      <w:r>
        <w:rPr>
          <w:spacing w:val="-4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4,</w:t>
      </w:r>
      <w:r>
        <w:rPr>
          <w:spacing w:val="-5"/>
        </w:rPr>
        <w:t xml:space="preserve"> </w:t>
      </w:r>
      <w:r>
        <w:t>pp. 759–770, Apr.</w:t>
      </w:r>
    </w:p>
    <w:p w14:paraId="78D1AF67" w14:textId="77777777" w:rsidR="00C110C2" w:rsidRDefault="00C110C2" w:rsidP="00C110C2">
      <w:pPr>
        <w:pStyle w:val="BodyText"/>
        <w:spacing w:before="238"/>
        <w:ind w:left="282" w:right="287"/>
        <w:jc w:val="both"/>
      </w:pPr>
      <w:r>
        <w:t>[</w:t>
      </w:r>
      <w:proofErr w:type="gramStart"/>
      <w:r>
        <w:t>11]W.</w:t>
      </w:r>
      <w:proofErr w:type="gramEnd"/>
      <w:r>
        <w:t>-J. Tsou et al., “Digital low-dropout regulator with anti PVT-variation technique for dynamic voltage scaling and adaptive voltage scaling multicore processor,” in IEEE Int. Solid- State Circuits Conf. (ISSCC) Dig. Tech. Papers, Feb. 2017, pp. 338–339.</w:t>
      </w:r>
    </w:p>
    <w:p w14:paraId="1F43071E" w14:textId="77777777" w:rsidR="00C110C2" w:rsidRDefault="00C110C2" w:rsidP="00C110C2">
      <w:pPr>
        <w:pStyle w:val="BodyText"/>
        <w:jc w:val="both"/>
        <w:sectPr w:rsidR="00C110C2" w:rsidSect="00C110C2">
          <w:pgSz w:w="12240" w:h="15840"/>
          <w:pgMar w:top="1540" w:right="992" w:bottom="940" w:left="1417" w:header="0" w:footer="710" w:gutter="0"/>
          <w:cols w:space="720"/>
        </w:sectPr>
      </w:pPr>
    </w:p>
    <w:p w14:paraId="6974D7BF" w14:textId="77777777" w:rsidR="00C110C2" w:rsidRDefault="00C110C2" w:rsidP="00C110C2">
      <w:pPr>
        <w:pStyle w:val="BodyText"/>
        <w:spacing w:before="68" w:line="237" w:lineRule="auto"/>
        <w:ind w:left="282" w:right="275"/>
        <w:jc w:val="both"/>
      </w:pPr>
      <w:r>
        <w:rPr>
          <w:spacing w:val="-2"/>
        </w:rPr>
        <w:lastRenderedPageBreak/>
        <w:t>[</w:t>
      </w:r>
      <w:proofErr w:type="gramStart"/>
      <w:r>
        <w:rPr>
          <w:spacing w:val="-2"/>
        </w:rPr>
        <w:t>12]J.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Lee</w:t>
      </w:r>
      <w:r>
        <w:rPr>
          <w:spacing w:val="-11"/>
        </w:rPr>
        <w:t xml:space="preserve"> </w:t>
      </w:r>
      <w:r>
        <w:rPr>
          <w:spacing w:val="-2"/>
        </w:rPr>
        <w:t>et</w:t>
      </w:r>
      <w:r>
        <w:rPr>
          <w:spacing w:val="-3"/>
        </w:rPr>
        <w:t xml:space="preserve"> </w:t>
      </w:r>
      <w:r>
        <w:rPr>
          <w:spacing w:val="-2"/>
        </w:rPr>
        <w:t>al.,</w:t>
      </w:r>
      <w:r>
        <w:rPr>
          <w:spacing w:val="-5"/>
        </w:rPr>
        <w:t xml:space="preserve"> </w:t>
      </w:r>
      <w:r>
        <w:rPr>
          <w:spacing w:val="-2"/>
        </w:rPr>
        <w:t>“A</w:t>
      </w:r>
      <w:r>
        <w:rPr>
          <w:spacing w:val="-12"/>
        </w:rPr>
        <w:t xml:space="preserve"> </w:t>
      </w:r>
      <w:r>
        <w:rPr>
          <w:spacing w:val="-2"/>
        </w:rPr>
        <w:t>self-tuning</w:t>
      </w:r>
      <w:r>
        <w:rPr>
          <w:spacing w:val="-6"/>
        </w:rPr>
        <w:t xml:space="preserve"> </w:t>
      </w:r>
      <w:r>
        <w:rPr>
          <w:spacing w:val="-2"/>
        </w:rPr>
        <w:t>IoT</w:t>
      </w:r>
      <w:r>
        <w:rPr>
          <w:spacing w:val="-9"/>
        </w:rPr>
        <w:t xml:space="preserve"> </w:t>
      </w:r>
      <w:r>
        <w:rPr>
          <w:spacing w:val="-2"/>
        </w:rPr>
        <w:t>processor</w:t>
      </w:r>
      <w:r>
        <w:rPr>
          <w:spacing w:val="-10"/>
        </w:rPr>
        <w:t xml:space="preserve"> </w:t>
      </w:r>
      <w:r>
        <w:rPr>
          <w:spacing w:val="-2"/>
        </w:rPr>
        <w:t>using leakage-ratio measurement for</w:t>
      </w:r>
      <w:r>
        <w:rPr>
          <w:spacing w:val="-7"/>
        </w:rPr>
        <w:t xml:space="preserve"> </w:t>
      </w:r>
      <w:r>
        <w:rPr>
          <w:spacing w:val="-2"/>
        </w:rPr>
        <w:t>energy</w:t>
      </w:r>
      <w:r>
        <w:rPr>
          <w:spacing w:val="-13"/>
        </w:rPr>
        <w:t xml:space="preserve"> </w:t>
      </w:r>
      <w:r>
        <w:rPr>
          <w:spacing w:val="-2"/>
        </w:rPr>
        <w:t xml:space="preserve">optimal </w:t>
      </w:r>
      <w:r>
        <w:t>operation,” IEEE J. Solid-State Circuits, vol. 55, no. 1, pp. 87–97, Jan. 2020.</w:t>
      </w:r>
    </w:p>
    <w:p w14:paraId="4285B006" w14:textId="77777777" w:rsidR="00C110C2" w:rsidRDefault="00C110C2" w:rsidP="00C110C2">
      <w:pPr>
        <w:pStyle w:val="BodyText"/>
        <w:spacing w:before="238"/>
        <w:ind w:left="282" w:right="281"/>
        <w:jc w:val="both"/>
      </w:pPr>
      <w:r>
        <w:t>[</w:t>
      </w:r>
      <w:proofErr w:type="gramStart"/>
      <w:r>
        <w:t>13]A.</w:t>
      </w:r>
      <w:proofErr w:type="gramEnd"/>
      <w:r>
        <w:t xml:space="preserve"> Hirata, K. Nakanishi, M. </w:t>
      </w:r>
      <w:proofErr w:type="spellStart"/>
      <w:r>
        <w:t>Nozoe</w:t>
      </w:r>
      <w:proofErr w:type="spellEnd"/>
      <w:r>
        <w:t xml:space="preserve">, and A. Miyoshi, “The </w:t>
      </w:r>
      <w:proofErr w:type="gramStart"/>
      <w:r>
        <w:t>cross charge</w:t>
      </w:r>
      <w:proofErr w:type="gramEnd"/>
      <w:r>
        <w:t xml:space="preserve"> control</w:t>
      </w:r>
      <w:r>
        <w:rPr>
          <w:spacing w:val="-6"/>
        </w:rPr>
        <w:t xml:space="preserve"> </w:t>
      </w:r>
      <w:r>
        <w:t>flip- flop: A low-power and</w:t>
      </w:r>
      <w:r>
        <w:rPr>
          <w:spacing w:val="-5"/>
        </w:rPr>
        <w:t xml:space="preserve"> </w:t>
      </w:r>
      <w:r>
        <w:t>high-speed flip-flop</w:t>
      </w:r>
      <w:r>
        <w:rPr>
          <w:spacing w:val="-5"/>
        </w:rPr>
        <w:t xml:space="preserve"> </w:t>
      </w:r>
      <w:r>
        <w:t>suitable for mobile</w:t>
      </w:r>
      <w:r>
        <w:rPr>
          <w:spacing w:val="-3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SoCs,”</w:t>
      </w:r>
      <w:r>
        <w:rPr>
          <w:spacing w:val="-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Dig. Tech. Papers. Symp. VLSI Circuits, Jun. 2005, pp. 306–307.</w:t>
      </w:r>
    </w:p>
    <w:p w14:paraId="1DBEB6C4" w14:textId="77777777" w:rsidR="00C110C2" w:rsidRDefault="00C110C2" w:rsidP="00C110C2">
      <w:pPr>
        <w:pStyle w:val="BodyText"/>
        <w:spacing w:before="246" w:line="237" w:lineRule="auto"/>
        <w:ind w:left="282" w:right="281"/>
        <w:jc w:val="both"/>
      </w:pPr>
      <w:r>
        <w:t>[</w:t>
      </w:r>
      <w:proofErr w:type="gramStart"/>
      <w:r>
        <w:t>14]C.</w:t>
      </w:r>
      <w:proofErr w:type="gramEnd"/>
      <w:r>
        <w:t xml:space="preserve"> K. Teh, T. Fujita, H. Hara, and M. Hamada, “A 77% energy-saving 22-transistor single- phase-clocking D-flip-flop with</w:t>
      </w:r>
      <w:r>
        <w:rPr>
          <w:spacing w:val="-5"/>
        </w:rPr>
        <w:t xml:space="preserve"> </w:t>
      </w:r>
      <w:r>
        <w:t>adaptive-coupling configuration in</w:t>
      </w:r>
      <w:r>
        <w:rPr>
          <w:spacing w:val="-4"/>
        </w:rPr>
        <w:t xml:space="preserve"> </w:t>
      </w:r>
      <w:r>
        <w:t>40 nm</w:t>
      </w:r>
      <w:r>
        <w:rPr>
          <w:spacing w:val="-10"/>
        </w:rPr>
        <w:t xml:space="preserve"> </w:t>
      </w:r>
      <w:r>
        <w:t>CMOS,” in</w:t>
      </w:r>
      <w:r>
        <w:rPr>
          <w:spacing w:val="-11"/>
        </w:rPr>
        <w:t xml:space="preserve"> </w:t>
      </w:r>
      <w:r>
        <w:t>IEEE</w:t>
      </w:r>
      <w:r>
        <w:rPr>
          <w:spacing w:val="-4"/>
        </w:rPr>
        <w:t xml:space="preserve"> </w:t>
      </w:r>
      <w:r>
        <w:t>Int. Solid-State Circuits Conf. (ISSCC) Dig. Tech. Papers, Feb. 2011, pp. 338–339.</w:t>
      </w:r>
    </w:p>
    <w:p w14:paraId="387635DA" w14:textId="77777777" w:rsidR="00C110C2" w:rsidRDefault="00C110C2" w:rsidP="00C110C2">
      <w:pPr>
        <w:pStyle w:val="BodyText"/>
        <w:spacing w:before="246" w:line="237" w:lineRule="auto"/>
        <w:ind w:left="282" w:right="296"/>
        <w:jc w:val="both"/>
      </w:pPr>
      <w:r>
        <w:t>[</w:t>
      </w:r>
      <w:proofErr w:type="gramStart"/>
      <w:r>
        <w:t>15]N.</w:t>
      </w:r>
      <w:proofErr w:type="gramEnd"/>
      <w:r>
        <w:t xml:space="preserve"> Kawai et al., “A fully static topologically-compressed 21-transistor flip-flop with 75% power saving,” IEEE J. Solid-State Circuits, vol. 49, no. 11, pp. 2526–2533, Nov. 2014.</w:t>
      </w:r>
    </w:p>
    <w:p w14:paraId="29FCABF6" w14:textId="77777777" w:rsidR="00C110C2" w:rsidRDefault="00C110C2" w:rsidP="00C110C2">
      <w:pPr>
        <w:pStyle w:val="BodyText"/>
        <w:spacing w:before="248" w:line="235" w:lineRule="auto"/>
        <w:ind w:left="282" w:right="288"/>
        <w:jc w:val="both"/>
      </w:pPr>
      <w:r>
        <w:t>[</w:t>
      </w:r>
      <w:proofErr w:type="gramStart"/>
      <w:r>
        <w:t>16]Y.</w:t>
      </w:r>
      <w:proofErr w:type="gramEnd"/>
      <w:r>
        <w:t xml:space="preserve"> Cai, A. Savanth, P. Prabhat, J. Myers, A. S. Weddell, and T. J. Kazmierski, “Ultra- low power 18-transistor fully</w:t>
      </w:r>
      <w:r>
        <w:rPr>
          <w:spacing w:val="-6"/>
        </w:rPr>
        <w:t xml:space="preserve"> </w:t>
      </w:r>
      <w:r>
        <w:t>static contention free single-phase clocked flip-flop in</w:t>
      </w:r>
      <w:r>
        <w:rPr>
          <w:spacing w:val="-6"/>
        </w:rPr>
        <w:t xml:space="preserve"> </w:t>
      </w:r>
      <w:r>
        <w:t>65-nm</w:t>
      </w:r>
      <w:r>
        <w:rPr>
          <w:spacing w:val="-15"/>
        </w:rPr>
        <w:t xml:space="preserve"> </w:t>
      </w:r>
      <w:r>
        <w:t>CMOS,” IEEE J. Solid-State Circuits, vol. 54, no. 2, pp. 550–559, Feb. 2019.</w:t>
      </w:r>
    </w:p>
    <w:p w14:paraId="5D5DC5F2" w14:textId="77777777" w:rsidR="00C110C2" w:rsidRDefault="00C110C2" w:rsidP="00C110C2">
      <w:pPr>
        <w:pStyle w:val="BodyText"/>
        <w:spacing w:before="252" w:line="237" w:lineRule="auto"/>
        <w:ind w:left="282" w:right="285"/>
        <w:jc w:val="both"/>
      </w:pPr>
      <w:r>
        <w:t>[</w:t>
      </w:r>
      <w:proofErr w:type="gramStart"/>
      <w:r>
        <w:t>17]Y.</w:t>
      </w:r>
      <w:proofErr w:type="gramEnd"/>
      <w:r>
        <w:rPr>
          <w:spacing w:val="-11"/>
        </w:rPr>
        <w:t xml:space="preserve"> </w:t>
      </w:r>
      <w:r>
        <w:t>Kim</w:t>
      </w:r>
      <w:r>
        <w:rPr>
          <w:spacing w:val="-15"/>
        </w:rPr>
        <w:t xml:space="preserve"> </w:t>
      </w:r>
      <w:r>
        <w:t>et al., “A</w:t>
      </w:r>
      <w:r>
        <w:rPr>
          <w:spacing w:val="-13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contention-free</w:t>
      </w:r>
      <w:r>
        <w:rPr>
          <w:spacing w:val="-4"/>
        </w:rPr>
        <w:t xml:space="preserve"> </w:t>
      </w:r>
      <w:r>
        <w:t>single-phase-clocked</w:t>
      </w:r>
      <w:r>
        <w:rPr>
          <w:spacing w:val="-3"/>
        </w:rPr>
        <w:t xml:space="preserve"> </w:t>
      </w:r>
      <w:r>
        <w:t>24T flip flop in</w:t>
      </w:r>
      <w:r>
        <w:rPr>
          <w:spacing w:val="-12"/>
        </w:rPr>
        <w:t xml:space="preserve"> </w:t>
      </w:r>
      <w:r>
        <w:t>45</w:t>
      </w:r>
      <w:r>
        <w:rPr>
          <w:spacing w:val="-4"/>
        </w:rPr>
        <w:t xml:space="preserve"> </w:t>
      </w:r>
      <w:r>
        <w:t>nm</w:t>
      </w:r>
      <w:r>
        <w:rPr>
          <w:spacing w:val="-12"/>
        </w:rPr>
        <w:t xml:space="preserve"> </w:t>
      </w:r>
      <w:r>
        <w:t>for low- power applications,” in IEEE Int. Solid-State Circuits Conf. (ISSCC) Dig. Tech. Papers, Feb. 2014, pp. 466–467.</w:t>
      </w:r>
    </w:p>
    <w:p w14:paraId="717FBCFD" w14:textId="77777777" w:rsidR="00C110C2" w:rsidRDefault="00C110C2" w:rsidP="00C110C2">
      <w:pPr>
        <w:pStyle w:val="BodyText"/>
        <w:spacing w:before="244"/>
        <w:ind w:left="282" w:right="289"/>
        <w:jc w:val="both"/>
      </w:pPr>
      <w:r>
        <w:t>[</w:t>
      </w:r>
      <w:proofErr w:type="gramStart"/>
      <w:r>
        <w:t>18]F.</w:t>
      </w:r>
      <w:proofErr w:type="gramEnd"/>
      <w:r>
        <w:rPr>
          <w:spacing w:val="-6"/>
        </w:rPr>
        <w:t xml:space="preserve"> </w:t>
      </w:r>
      <w:r>
        <w:t>Stas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D.</w:t>
      </w:r>
      <w:r>
        <w:rPr>
          <w:spacing w:val="-6"/>
        </w:rPr>
        <w:t xml:space="preserve"> </w:t>
      </w:r>
      <w:r>
        <w:t>Bol,</w:t>
      </w:r>
      <w:r>
        <w:rPr>
          <w:spacing w:val="-6"/>
        </w:rPr>
        <w:t xml:space="preserve"> </w:t>
      </w:r>
      <w:r>
        <w:t>“A</w:t>
      </w:r>
      <w:r>
        <w:rPr>
          <w:spacing w:val="-13"/>
        </w:rPr>
        <w:t xml:space="preserve"> </w:t>
      </w:r>
      <w:r>
        <w:t>0.4-V</w:t>
      </w:r>
      <w:r>
        <w:rPr>
          <w:spacing w:val="-8"/>
        </w:rPr>
        <w:t xml:space="preserve"> </w:t>
      </w:r>
      <w:r>
        <w:t>0.66-fJ/cycle</w:t>
      </w:r>
      <w:r>
        <w:rPr>
          <w:spacing w:val="-9"/>
        </w:rPr>
        <w:t xml:space="preserve"> </w:t>
      </w:r>
      <w:r>
        <w:t>retentive</w:t>
      </w:r>
      <w:r>
        <w:rPr>
          <w:spacing w:val="-9"/>
        </w:rPr>
        <w:t xml:space="preserve"> </w:t>
      </w:r>
      <w:r>
        <w:t>true-single-phase</w:t>
      </w:r>
      <w:r>
        <w:rPr>
          <w:spacing w:val="23"/>
        </w:rPr>
        <w:t xml:space="preserve"> </w:t>
      </w:r>
      <w:r>
        <w:t>clock</w:t>
      </w:r>
      <w:r>
        <w:rPr>
          <w:spacing w:val="-8"/>
        </w:rPr>
        <w:t xml:space="preserve"> </w:t>
      </w:r>
      <w:r>
        <w:t>18T</w:t>
      </w:r>
      <w:r>
        <w:rPr>
          <w:spacing w:val="-6"/>
        </w:rPr>
        <w:t xml:space="preserve"> </w:t>
      </w:r>
      <w:r>
        <w:t>flip-</w:t>
      </w:r>
      <w:r>
        <w:rPr>
          <w:spacing w:val="-2"/>
        </w:rPr>
        <w:t xml:space="preserve"> </w:t>
      </w:r>
      <w:r>
        <w:t>flop</w:t>
      </w:r>
      <w:r>
        <w:rPr>
          <w:spacing w:val="-3"/>
        </w:rPr>
        <w:t xml:space="preserve"> </w:t>
      </w:r>
      <w:r>
        <w:t>in 28-nm fully-depleted SOI CMOS,” IEEE Trans. Circuits Syst. I, Reg. Papers, vol. 65, no. 3,</w:t>
      </w:r>
    </w:p>
    <w:p w14:paraId="4C821B36" w14:textId="77777777" w:rsidR="00C110C2" w:rsidRDefault="00C110C2" w:rsidP="00C110C2">
      <w:pPr>
        <w:pStyle w:val="BodyText"/>
        <w:spacing w:before="1"/>
        <w:ind w:left="282"/>
      </w:pPr>
      <w:r>
        <w:t>pp. 935–945,</w:t>
      </w:r>
      <w:r>
        <w:rPr>
          <w:spacing w:val="1"/>
        </w:rPr>
        <w:t xml:space="preserve"> </w:t>
      </w:r>
      <w:r>
        <w:t>Mar.</w:t>
      </w:r>
      <w:r>
        <w:rPr>
          <w:spacing w:val="-2"/>
        </w:rPr>
        <w:t xml:space="preserve"> </w:t>
      </w:r>
      <w:r>
        <w:rPr>
          <w:spacing w:val="-4"/>
        </w:rPr>
        <w:t>2018.</w:t>
      </w:r>
    </w:p>
    <w:p w14:paraId="365AD6A3" w14:textId="77777777" w:rsidR="00C110C2" w:rsidRDefault="00C110C2" w:rsidP="00C110C2">
      <w:pPr>
        <w:pStyle w:val="BodyText"/>
        <w:spacing w:before="244" w:line="237" w:lineRule="auto"/>
        <w:ind w:left="282" w:right="295"/>
        <w:jc w:val="both"/>
      </w:pPr>
      <w:r>
        <w:t>[</w:t>
      </w:r>
      <w:proofErr w:type="gramStart"/>
      <w:r>
        <w:t>19]F.</w:t>
      </w:r>
      <w:proofErr w:type="gramEnd"/>
      <w:r>
        <w:t xml:space="preserve"> S. </w:t>
      </w:r>
      <w:proofErr w:type="spellStart"/>
      <w:r>
        <w:t>Alghareb</w:t>
      </w:r>
      <w:proofErr w:type="spellEnd"/>
      <w:r>
        <w:t xml:space="preserve">, R. A. Ashraf, and R. F. DeMara, “Designing and evaluating redundancy- based soft-error masking on a continuum of energy versus robustness,” IEEE Trans. Sustain. </w:t>
      </w:r>
      <w:proofErr w:type="spellStart"/>
      <w:r>
        <w:t>Comput</w:t>
      </w:r>
      <w:proofErr w:type="spellEnd"/>
      <w:r>
        <w:t>., vol. 3, no. 3, pp. 139–152, Jul. 2018.</w:t>
      </w:r>
    </w:p>
    <w:p w14:paraId="55E8F3E5" w14:textId="77777777" w:rsidR="00C110C2" w:rsidRDefault="00C110C2" w:rsidP="00C110C2">
      <w:pPr>
        <w:pStyle w:val="BodyText"/>
        <w:spacing w:before="251" w:line="237" w:lineRule="auto"/>
        <w:ind w:left="282" w:right="286"/>
        <w:jc w:val="both"/>
      </w:pPr>
      <w:r>
        <w:t>[</w:t>
      </w:r>
      <w:proofErr w:type="gramStart"/>
      <w:r>
        <w:t>20]P.</w:t>
      </w:r>
      <w:proofErr w:type="gramEnd"/>
      <w:r>
        <w:rPr>
          <w:spacing w:val="-15"/>
        </w:rPr>
        <w:t xml:space="preserve"> </w:t>
      </w:r>
      <w:r>
        <w:t>E.</w:t>
      </w:r>
      <w:r>
        <w:rPr>
          <w:spacing w:val="-7"/>
        </w:rPr>
        <w:t xml:space="preserve"> </w:t>
      </w:r>
      <w:r>
        <w:t>Dodd,</w:t>
      </w:r>
      <w:r>
        <w:rPr>
          <w:spacing w:val="-7"/>
        </w:rPr>
        <w:t xml:space="preserve"> </w:t>
      </w:r>
      <w:r>
        <w:t>M.</w:t>
      </w:r>
      <w:r>
        <w:rPr>
          <w:spacing w:val="-11"/>
        </w:rPr>
        <w:t xml:space="preserve"> </w:t>
      </w:r>
      <w:r>
        <w:t>R.</w:t>
      </w:r>
      <w:r>
        <w:rPr>
          <w:spacing w:val="-11"/>
        </w:rPr>
        <w:t xml:space="preserve"> </w:t>
      </w:r>
      <w:r>
        <w:t>Shaneyfelt,</w:t>
      </w:r>
      <w:r>
        <w:rPr>
          <w:spacing w:val="-1"/>
        </w:rPr>
        <w:t xml:space="preserve"> </w:t>
      </w:r>
      <w:r>
        <w:t>J.</w:t>
      </w:r>
      <w:r>
        <w:rPr>
          <w:spacing w:val="-8"/>
        </w:rPr>
        <w:t xml:space="preserve"> </w:t>
      </w:r>
      <w:r>
        <w:t>R.</w:t>
      </w:r>
      <w:r>
        <w:rPr>
          <w:spacing w:val="-7"/>
        </w:rPr>
        <w:t xml:space="preserve"> </w:t>
      </w:r>
      <w:r>
        <w:t>Schwank,</w:t>
      </w:r>
      <w:r>
        <w:rPr>
          <w:spacing w:val="-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J. A.</w:t>
      </w:r>
      <w:r>
        <w:rPr>
          <w:spacing w:val="-3"/>
        </w:rPr>
        <w:t xml:space="preserve"> </w:t>
      </w:r>
      <w:r>
        <w:t>Felix, “Current and</w:t>
      </w:r>
      <w:r>
        <w:rPr>
          <w:spacing w:val="-5"/>
        </w:rPr>
        <w:t xml:space="preserve"> </w:t>
      </w:r>
      <w:r>
        <w:t>future</w:t>
      </w:r>
      <w:r>
        <w:rPr>
          <w:spacing w:val="-9"/>
        </w:rPr>
        <w:t xml:space="preserve"> </w:t>
      </w:r>
      <w:r>
        <w:t>challenges in</w:t>
      </w:r>
      <w:r>
        <w:rPr>
          <w:spacing w:val="-15"/>
        </w:rPr>
        <w:t xml:space="preserve"> </w:t>
      </w:r>
      <w:r>
        <w:t>radiation</w:t>
      </w:r>
      <w:r>
        <w:rPr>
          <w:spacing w:val="-15"/>
        </w:rPr>
        <w:t xml:space="preserve"> </w:t>
      </w:r>
      <w:r>
        <w:t>effects</w:t>
      </w:r>
      <w:r>
        <w:rPr>
          <w:spacing w:val="-14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CMOS</w:t>
      </w:r>
      <w:r>
        <w:rPr>
          <w:spacing w:val="-8"/>
        </w:rPr>
        <w:t xml:space="preserve"> </w:t>
      </w:r>
      <w:r>
        <w:t>electronics,”</w:t>
      </w:r>
      <w:r>
        <w:rPr>
          <w:spacing w:val="-13"/>
        </w:rPr>
        <w:t xml:space="preserve"> </w:t>
      </w:r>
      <w:r>
        <w:t>IEEE</w:t>
      </w:r>
      <w:r>
        <w:rPr>
          <w:spacing w:val="-14"/>
        </w:rPr>
        <w:t xml:space="preserve"> </w:t>
      </w:r>
      <w:r>
        <w:t>Trans.</w:t>
      </w:r>
      <w:r>
        <w:rPr>
          <w:spacing w:val="-6"/>
        </w:rPr>
        <w:t xml:space="preserve"> </w:t>
      </w:r>
      <w:proofErr w:type="spellStart"/>
      <w:r>
        <w:t>Nucl</w:t>
      </w:r>
      <w:proofErr w:type="spellEnd"/>
      <w:r>
        <w:t>.</w:t>
      </w:r>
      <w:r>
        <w:rPr>
          <w:spacing w:val="-6"/>
        </w:rPr>
        <w:t xml:space="preserve"> </w:t>
      </w:r>
      <w:r>
        <w:t>Sci.,</w:t>
      </w:r>
      <w:r>
        <w:rPr>
          <w:spacing w:val="-6"/>
        </w:rPr>
        <w:t xml:space="preserve"> </w:t>
      </w:r>
      <w:r>
        <w:t>vol.</w:t>
      </w:r>
      <w:r>
        <w:rPr>
          <w:spacing w:val="-6"/>
        </w:rPr>
        <w:t xml:space="preserve"> </w:t>
      </w:r>
      <w:r>
        <w:t>57,</w:t>
      </w:r>
      <w:r>
        <w:rPr>
          <w:spacing w:val="-6"/>
        </w:rPr>
        <w:t xml:space="preserve"> </w:t>
      </w:r>
      <w:r>
        <w:t>no.</w:t>
      </w:r>
      <w:r>
        <w:rPr>
          <w:spacing w:val="-11"/>
        </w:rPr>
        <w:t xml:space="preserve"> </w:t>
      </w:r>
      <w:r>
        <w:t>4,</w:t>
      </w:r>
      <w:r>
        <w:rPr>
          <w:spacing w:val="-6"/>
        </w:rPr>
        <w:t xml:space="preserve"> </w:t>
      </w:r>
      <w:r>
        <w:t>pp.</w:t>
      </w:r>
      <w:r>
        <w:rPr>
          <w:spacing w:val="-11"/>
        </w:rPr>
        <w:t xml:space="preserve"> </w:t>
      </w:r>
      <w:r>
        <w:t>1747–1763, Aug. 2010.</w:t>
      </w:r>
    </w:p>
    <w:p w14:paraId="64E1795F" w14:textId="77777777" w:rsidR="00C110C2" w:rsidRDefault="00C110C2" w:rsidP="00C110C2">
      <w:pPr>
        <w:pStyle w:val="BodyText"/>
        <w:spacing w:before="253" w:line="235" w:lineRule="auto"/>
        <w:ind w:left="282" w:right="289"/>
        <w:jc w:val="both"/>
      </w:pPr>
      <w:r>
        <w:t>[</w:t>
      </w:r>
      <w:proofErr w:type="gramStart"/>
      <w:r>
        <w:t>21]M.</w:t>
      </w:r>
      <w:proofErr w:type="gramEnd"/>
      <w:r>
        <w:t xml:space="preserve"> Fazeli, A. </w:t>
      </w:r>
      <w:proofErr w:type="spellStart"/>
      <w:r>
        <w:t>Patooghy</w:t>
      </w:r>
      <w:proofErr w:type="spellEnd"/>
      <w:r>
        <w:t xml:space="preserve">, S. G. </w:t>
      </w:r>
      <w:proofErr w:type="spellStart"/>
      <w:r>
        <w:t>Miremadi</w:t>
      </w:r>
      <w:proofErr w:type="spellEnd"/>
      <w:r>
        <w:t xml:space="preserve">, and A. </w:t>
      </w:r>
      <w:proofErr w:type="spellStart"/>
      <w:r>
        <w:t>Ejlali</w:t>
      </w:r>
      <w:proofErr w:type="spellEnd"/>
      <w:r>
        <w:t xml:space="preserve">, “Feedback redundancy: A power efficient SEU-tolerant latch design for deep sub-micron technologies,” in Proc. 37th Annu. IEEE/IFIP Int. Conf. Dependable Syst. </w:t>
      </w:r>
      <w:proofErr w:type="spellStart"/>
      <w:r>
        <w:t>Netw</w:t>
      </w:r>
      <w:proofErr w:type="spellEnd"/>
      <w:r>
        <w:t>. (DSN), Jun. 2007, pp. 276–285.</w:t>
      </w:r>
    </w:p>
    <w:p w14:paraId="38FA21E8" w14:textId="77777777" w:rsidR="00C110C2" w:rsidRDefault="00C110C2" w:rsidP="00C110C2">
      <w:pPr>
        <w:pStyle w:val="BodyText"/>
        <w:spacing w:before="248" w:line="237" w:lineRule="auto"/>
        <w:ind w:left="282" w:right="287"/>
        <w:jc w:val="both"/>
      </w:pPr>
      <w:r>
        <w:t>[</w:t>
      </w:r>
      <w:proofErr w:type="gramStart"/>
      <w:r>
        <w:t>22]Z.</w:t>
      </w:r>
      <w:proofErr w:type="gramEnd"/>
      <w:r>
        <w:t xml:space="preserve"> Huang, “A high performance SEU-tolerant latch for nanoscale CMOS technology,” in Proc. Design, Automat. Test Eur. Conf. </w:t>
      </w:r>
      <w:proofErr w:type="spellStart"/>
      <w:r>
        <w:t>Exhib</w:t>
      </w:r>
      <w:proofErr w:type="spellEnd"/>
      <w:r>
        <w:t>. (DATE), 2014, pp. 1–5.</w:t>
      </w:r>
    </w:p>
    <w:p w14:paraId="6EF38670" w14:textId="77777777" w:rsidR="00C110C2" w:rsidRDefault="00C110C2" w:rsidP="00C110C2">
      <w:pPr>
        <w:pStyle w:val="BodyText"/>
        <w:spacing w:before="244"/>
        <w:ind w:left="282" w:right="282"/>
        <w:jc w:val="both"/>
      </w:pPr>
      <w:r>
        <w:t>[</w:t>
      </w:r>
      <w:proofErr w:type="gramStart"/>
      <w:r>
        <w:t>23]F.</w:t>
      </w:r>
      <w:proofErr w:type="gramEnd"/>
      <w:r>
        <w:t xml:space="preserve"> S. </w:t>
      </w:r>
      <w:proofErr w:type="spellStart"/>
      <w:r>
        <w:t>Alghareb</w:t>
      </w:r>
      <w:proofErr w:type="spellEnd"/>
      <w:r>
        <w:t xml:space="preserve">, R. Zand, and R. F. Demara, “Non-volatile spintronic flipflop design for energy-efficient SEU and DNU resilience,” IEEE Trans. Magn., vol. 55, no. 3, pp. 1–11, Mar. </w:t>
      </w:r>
      <w:r>
        <w:rPr>
          <w:spacing w:val="-2"/>
        </w:rPr>
        <w:t>2019.</w:t>
      </w:r>
    </w:p>
    <w:p w14:paraId="0F7969A1" w14:textId="77777777" w:rsidR="00C110C2" w:rsidRDefault="00C110C2" w:rsidP="00C110C2">
      <w:pPr>
        <w:pStyle w:val="BodyText"/>
        <w:spacing w:before="240" w:line="237" w:lineRule="auto"/>
        <w:ind w:left="282" w:right="294"/>
        <w:jc w:val="both"/>
      </w:pPr>
      <w:r>
        <w:t>[</w:t>
      </w:r>
      <w:proofErr w:type="gramStart"/>
      <w:r>
        <w:t>24]S.</w:t>
      </w:r>
      <w:proofErr w:type="gramEnd"/>
      <w:r>
        <w:rPr>
          <w:spacing w:val="-15"/>
        </w:rPr>
        <w:t xml:space="preserve"> </w:t>
      </w:r>
      <w:r>
        <w:t>Kumar,</w:t>
      </w:r>
      <w:r>
        <w:rPr>
          <w:spacing w:val="-15"/>
        </w:rPr>
        <w:t xml:space="preserve"> </w:t>
      </w:r>
      <w:r>
        <w:t>S.</w:t>
      </w:r>
      <w:r>
        <w:rPr>
          <w:spacing w:val="-15"/>
        </w:rPr>
        <w:t xml:space="preserve"> </w:t>
      </w:r>
      <w:r>
        <w:t>Chellappa,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proofErr w:type="spellStart"/>
      <w:r>
        <w:t>L.</w:t>
      </w:r>
      <w:proofErr w:type="gramStart"/>
      <w:r>
        <w:t>T.Clark,“</w:t>
      </w:r>
      <w:proofErr w:type="gramEnd"/>
      <w:r>
        <w:t>Temporal</w:t>
      </w:r>
      <w:proofErr w:type="spellEnd"/>
      <w:r>
        <w:rPr>
          <w:spacing w:val="-15"/>
        </w:rPr>
        <w:t xml:space="preserve"> </w:t>
      </w:r>
      <w:r>
        <w:t>pulse-clocked</w:t>
      </w:r>
      <w:r>
        <w:rPr>
          <w:spacing w:val="-15"/>
        </w:rPr>
        <w:t xml:space="preserve"> </w:t>
      </w:r>
      <w:r>
        <w:t>multibit</w:t>
      </w:r>
      <w:r>
        <w:rPr>
          <w:spacing w:val="-15"/>
        </w:rPr>
        <w:t xml:space="preserve"> </w:t>
      </w:r>
      <w:r>
        <w:t>flip-flop</w:t>
      </w:r>
      <w:r>
        <w:rPr>
          <w:spacing w:val="-15"/>
        </w:rPr>
        <w:t xml:space="preserve"> </w:t>
      </w:r>
      <w:r>
        <w:t>mitigating SET and SEU,” in Proc. IEEE Int. Symp. Circuits Syst. (ISCAS), May</w:t>
      </w:r>
      <w:r>
        <w:rPr>
          <w:spacing w:val="-11"/>
        </w:rPr>
        <w:t xml:space="preserve"> </w:t>
      </w:r>
      <w:r>
        <w:t>2015, pp. 814–817.</w:t>
      </w:r>
    </w:p>
    <w:p w14:paraId="1D616B2E" w14:textId="77777777" w:rsidR="00B447C9" w:rsidRDefault="00B447C9"/>
    <w:sectPr w:rsidR="00B447C9" w:rsidSect="002F4A0D">
      <w:pgSz w:w="11910" w:h="16840"/>
      <w:pgMar w:top="720" w:right="1021" w:bottom="1440" w:left="1440" w:header="0" w:footer="99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57FE"/>
    <w:multiLevelType w:val="hybridMultilevel"/>
    <w:tmpl w:val="E3340712"/>
    <w:lvl w:ilvl="0" w:tplc="A110593A">
      <w:start w:val="1"/>
      <w:numFmt w:val="decimal"/>
      <w:lvlText w:val="[%1]"/>
      <w:lvlJc w:val="left"/>
      <w:pPr>
        <w:ind w:left="282" w:hanging="32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0"/>
        <w:sz w:val="24"/>
        <w:szCs w:val="24"/>
        <w:lang w:val="en-US" w:eastAsia="en-US" w:bidi="ar-SA"/>
      </w:rPr>
    </w:lvl>
    <w:lvl w:ilvl="1" w:tplc="9A7AA7E0">
      <w:numFmt w:val="bullet"/>
      <w:lvlText w:val="•"/>
      <w:lvlJc w:val="left"/>
      <w:pPr>
        <w:ind w:left="1235" w:hanging="323"/>
      </w:pPr>
      <w:rPr>
        <w:rFonts w:hint="default"/>
        <w:lang w:val="en-US" w:eastAsia="en-US" w:bidi="ar-SA"/>
      </w:rPr>
    </w:lvl>
    <w:lvl w:ilvl="2" w:tplc="EF3425DE">
      <w:numFmt w:val="bullet"/>
      <w:lvlText w:val="•"/>
      <w:lvlJc w:val="left"/>
      <w:pPr>
        <w:ind w:left="2190" w:hanging="323"/>
      </w:pPr>
      <w:rPr>
        <w:rFonts w:hint="default"/>
        <w:lang w:val="en-US" w:eastAsia="en-US" w:bidi="ar-SA"/>
      </w:rPr>
    </w:lvl>
    <w:lvl w:ilvl="3" w:tplc="25BAD3A2">
      <w:numFmt w:val="bullet"/>
      <w:lvlText w:val="•"/>
      <w:lvlJc w:val="left"/>
      <w:pPr>
        <w:ind w:left="3145" w:hanging="323"/>
      </w:pPr>
      <w:rPr>
        <w:rFonts w:hint="default"/>
        <w:lang w:val="en-US" w:eastAsia="en-US" w:bidi="ar-SA"/>
      </w:rPr>
    </w:lvl>
    <w:lvl w:ilvl="4" w:tplc="85663144">
      <w:numFmt w:val="bullet"/>
      <w:lvlText w:val="•"/>
      <w:lvlJc w:val="left"/>
      <w:pPr>
        <w:ind w:left="4100" w:hanging="323"/>
      </w:pPr>
      <w:rPr>
        <w:rFonts w:hint="default"/>
        <w:lang w:val="en-US" w:eastAsia="en-US" w:bidi="ar-SA"/>
      </w:rPr>
    </w:lvl>
    <w:lvl w:ilvl="5" w:tplc="74242C04">
      <w:numFmt w:val="bullet"/>
      <w:lvlText w:val="•"/>
      <w:lvlJc w:val="left"/>
      <w:pPr>
        <w:ind w:left="5055" w:hanging="323"/>
      </w:pPr>
      <w:rPr>
        <w:rFonts w:hint="default"/>
        <w:lang w:val="en-US" w:eastAsia="en-US" w:bidi="ar-SA"/>
      </w:rPr>
    </w:lvl>
    <w:lvl w:ilvl="6" w:tplc="1F685C6C">
      <w:numFmt w:val="bullet"/>
      <w:lvlText w:val="•"/>
      <w:lvlJc w:val="left"/>
      <w:pPr>
        <w:ind w:left="6010" w:hanging="323"/>
      </w:pPr>
      <w:rPr>
        <w:rFonts w:hint="default"/>
        <w:lang w:val="en-US" w:eastAsia="en-US" w:bidi="ar-SA"/>
      </w:rPr>
    </w:lvl>
    <w:lvl w:ilvl="7" w:tplc="1EE20C9A">
      <w:numFmt w:val="bullet"/>
      <w:lvlText w:val="•"/>
      <w:lvlJc w:val="left"/>
      <w:pPr>
        <w:ind w:left="6965" w:hanging="323"/>
      </w:pPr>
      <w:rPr>
        <w:rFonts w:hint="default"/>
        <w:lang w:val="en-US" w:eastAsia="en-US" w:bidi="ar-SA"/>
      </w:rPr>
    </w:lvl>
    <w:lvl w:ilvl="8" w:tplc="F0688980">
      <w:numFmt w:val="bullet"/>
      <w:lvlText w:val="•"/>
      <w:lvlJc w:val="left"/>
      <w:pPr>
        <w:ind w:left="7920" w:hanging="323"/>
      </w:pPr>
      <w:rPr>
        <w:rFonts w:hint="default"/>
        <w:lang w:val="en-US" w:eastAsia="en-US" w:bidi="ar-SA"/>
      </w:rPr>
    </w:lvl>
  </w:abstractNum>
  <w:num w:numId="1" w16cid:durableId="1424258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0C2"/>
    <w:rsid w:val="001F0A73"/>
    <w:rsid w:val="002F4A0D"/>
    <w:rsid w:val="00387685"/>
    <w:rsid w:val="004B50B2"/>
    <w:rsid w:val="00501A51"/>
    <w:rsid w:val="00986175"/>
    <w:rsid w:val="00A8330D"/>
    <w:rsid w:val="00B447C9"/>
    <w:rsid w:val="00BB51C1"/>
    <w:rsid w:val="00C110C2"/>
    <w:rsid w:val="00C4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AC9E6"/>
  <w15:chartTrackingRefBased/>
  <w15:docId w15:val="{5DFBCE18-56DD-4A2B-843D-D56F52291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0C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1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0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0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0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0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0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0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0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0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0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0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0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0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11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0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0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0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0C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110C2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110C2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801</Words>
  <Characters>4571</Characters>
  <Application>Microsoft Office Word</Application>
  <DocSecurity>0</DocSecurity>
  <Lines>38</Lines>
  <Paragraphs>10</Paragraphs>
  <ScaleCrop>false</ScaleCrop>
  <Company/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Rahiman Sayyad</dc:creator>
  <cp:keywords/>
  <dc:description/>
  <cp:lastModifiedBy>Rahiman Sayyad</cp:lastModifiedBy>
  <cp:revision>1</cp:revision>
  <dcterms:created xsi:type="dcterms:W3CDTF">2025-11-13T12:06:00Z</dcterms:created>
  <dcterms:modified xsi:type="dcterms:W3CDTF">2025-11-13T12:07:00Z</dcterms:modified>
</cp:coreProperties>
</file>