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6339" w14:textId="77777777" w:rsidR="00A93503" w:rsidRPr="005124B1" w:rsidRDefault="00000000">
      <w:pPr>
        <w:pStyle w:val="Heading1"/>
        <w:rPr>
          <w:color w:val="000000" w:themeColor="text1"/>
        </w:rPr>
      </w:pPr>
      <w:r w:rsidRPr="005124B1">
        <w:rPr>
          <w:color w:val="000000" w:themeColor="text1"/>
        </w:rPr>
        <w:t>Feature Extraction Methodology for RSV Mutation Prediction</w:t>
      </w:r>
    </w:p>
    <w:p w14:paraId="57217E89" w14:textId="77777777" w:rsidR="00A93503" w:rsidRPr="005124B1" w:rsidRDefault="00000000">
      <w:pPr>
        <w:pStyle w:val="Heading2"/>
        <w:rPr>
          <w:color w:val="000000" w:themeColor="text1"/>
        </w:rPr>
      </w:pPr>
      <w:r w:rsidRPr="005124B1">
        <w:rPr>
          <w:color w:val="000000" w:themeColor="text1"/>
        </w:rPr>
        <w:t>1. Introduction</w:t>
      </w:r>
    </w:p>
    <w:p w14:paraId="3B003F23" w14:textId="77777777" w:rsidR="00A93503" w:rsidRDefault="00000000">
      <w:r>
        <w:t>The objective of this project is to predict mutation susceptibility at nucleotide positions in the RSV-A genome using deep learning models. Since mutation occurrence is influenced by local sequence context and evolutionary variability, appropriate feature extraction is critical for model performance.</w:t>
      </w:r>
    </w:p>
    <w:p w14:paraId="1382F4BD" w14:textId="77777777" w:rsidR="00A93503" w:rsidRDefault="00000000">
      <w:r>
        <w:t>Instead of using gene-level summary statistics, this study focuses on position-level features that capture neighboring sequence influence and evolutionary dynamics.</w:t>
      </w:r>
    </w:p>
    <w:p w14:paraId="21F3B407" w14:textId="77777777" w:rsidR="00A93503" w:rsidRPr="005124B1" w:rsidRDefault="00000000">
      <w:pPr>
        <w:pStyle w:val="Heading2"/>
        <w:rPr>
          <w:color w:val="000000" w:themeColor="text1"/>
        </w:rPr>
      </w:pPr>
      <w:r w:rsidRPr="005124B1">
        <w:rPr>
          <w:color w:val="000000" w:themeColor="text1"/>
        </w:rPr>
        <w:t>2. Why Feature Extraction is Necessary</w:t>
      </w:r>
    </w:p>
    <w:p w14:paraId="1D4E4151" w14:textId="77777777" w:rsidR="00A93503" w:rsidRDefault="00000000">
      <w:r>
        <w:t>Deep learning models such as LSTM and Transformer cannot directly interpret nucleotide characters (A, C, G, T). Therefore, genomic sequences must be converted into numerical representations.</w:t>
      </w:r>
    </w:p>
    <w:p w14:paraId="5E2C92EC" w14:textId="77777777" w:rsidR="00A93503" w:rsidRDefault="00000000">
      <w:r>
        <w:t>Feature extraction serves three main purposes:</w:t>
      </w:r>
    </w:p>
    <w:p w14:paraId="6F0D410C" w14:textId="77777777" w:rsidR="00A93503" w:rsidRDefault="00000000">
      <w:r>
        <w:t>• Convert biological sequences into machine-readable numerical form.</w:t>
      </w:r>
    </w:p>
    <w:p w14:paraId="6A8556FA" w14:textId="77777777" w:rsidR="00A93503" w:rsidRDefault="00000000">
      <w:r>
        <w:t>• Capture neighboring nucleotide influence.</w:t>
      </w:r>
    </w:p>
    <w:p w14:paraId="1866AB23" w14:textId="77777777" w:rsidR="00A93503" w:rsidRDefault="00000000">
      <w:r>
        <w:t>• Incorporate evolutionary variability signals derived from aligned genomes.</w:t>
      </w:r>
    </w:p>
    <w:p w14:paraId="35C009EC" w14:textId="77777777" w:rsidR="00A93503" w:rsidRDefault="00000000">
      <w:pPr>
        <w:pStyle w:val="Heading2"/>
      </w:pPr>
      <w:r w:rsidRPr="005124B1">
        <w:rPr>
          <w:color w:val="000000" w:themeColor="text1"/>
        </w:rPr>
        <w:t>3. Features Used in This Study</w:t>
      </w:r>
    </w:p>
    <w:p w14:paraId="23498305" w14:textId="77777777" w:rsidR="00A93503" w:rsidRDefault="00000000">
      <w:r>
        <w:t>For each genomic position, a total of 407 numerical features are extracted, derived from four biologically meaningful feature groups.</w:t>
      </w:r>
    </w:p>
    <w:p w14:paraId="563419F3" w14:textId="77777777" w:rsidR="00A93503" w:rsidRPr="005124B1" w:rsidRDefault="00000000">
      <w:pPr>
        <w:pStyle w:val="Heading3"/>
        <w:rPr>
          <w:color w:val="000000" w:themeColor="text1"/>
        </w:rPr>
      </w:pPr>
      <w:r w:rsidRPr="005124B1">
        <w:rPr>
          <w:color w:val="000000" w:themeColor="text1"/>
        </w:rPr>
        <w:t>3.1 Sequence Context (Sliding Window One-Hot Encoding)</w:t>
      </w:r>
    </w:p>
    <w:p w14:paraId="27D475E4" w14:textId="77777777" w:rsidR="00A93503" w:rsidRDefault="00000000">
      <w:r>
        <w:t>For each nucleotide position i, a sliding window of 101 bases (±50 neighboring bases) is extracted from the reference genome.</w:t>
      </w:r>
    </w:p>
    <w:p w14:paraId="1CBB73E9" w14:textId="77777777" w:rsidR="00A93503" w:rsidRDefault="00000000">
      <w:r>
        <w:t>Each nucleotide is encoded using one-hot encoding: A = [1,0,0,0], C = [0,1,0,0], G = [0,0,1,0], T = [0,0,0,1].</w:t>
      </w:r>
    </w:p>
    <w:p w14:paraId="5E5A8171" w14:textId="77777777" w:rsidR="00A93503" w:rsidRDefault="00000000">
      <w:r>
        <w:t>Thus, 101 × 4 = 404 features are generated from sequence context.</w:t>
      </w:r>
    </w:p>
    <w:p w14:paraId="5124B70C" w14:textId="77777777" w:rsidR="00A93503" w:rsidRDefault="00000000">
      <w:r>
        <w:t>This feature captures neighboring nucleotide influence, sequence motifs, and enables deep learning models to learn sequential dependencies.</w:t>
      </w:r>
    </w:p>
    <w:p w14:paraId="088F2FE3" w14:textId="77777777" w:rsidR="00A93503" w:rsidRPr="005124B1" w:rsidRDefault="00000000">
      <w:pPr>
        <w:pStyle w:val="Heading3"/>
        <w:rPr>
          <w:color w:val="000000" w:themeColor="text1"/>
        </w:rPr>
      </w:pPr>
      <w:r w:rsidRPr="005124B1">
        <w:rPr>
          <w:color w:val="000000" w:themeColor="text1"/>
        </w:rPr>
        <w:t>3.2 GC Content (Window-Based)</w:t>
      </w:r>
    </w:p>
    <w:p w14:paraId="782CD9D9" w14:textId="77777777" w:rsidR="00A93503" w:rsidRDefault="00000000">
      <w:r>
        <w:t>For each 101 bp window, GC content is computed as: GC = (G + C) / 101.</w:t>
      </w:r>
    </w:p>
    <w:p w14:paraId="6BAE577C" w14:textId="77777777" w:rsidR="00A93503" w:rsidRDefault="00000000">
      <w:r>
        <w:t>GC-rich regions exhibit different mutation behavior and influence RNA stability. This contributes 1 numerical feature.</w:t>
      </w:r>
    </w:p>
    <w:p w14:paraId="1A5F216A" w14:textId="77777777" w:rsidR="00A93503" w:rsidRPr="005124B1" w:rsidRDefault="00000000">
      <w:pPr>
        <w:pStyle w:val="Heading3"/>
        <w:rPr>
          <w:color w:val="000000" w:themeColor="text1"/>
        </w:rPr>
      </w:pPr>
      <w:r w:rsidRPr="005124B1">
        <w:rPr>
          <w:color w:val="000000" w:themeColor="text1"/>
        </w:rPr>
        <w:lastRenderedPageBreak/>
        <w:t>3.3 Shannon Entropy (Position-Wise Variability)</w:t>
      </w:r>
    </w:p>
    <w:p w14:paraId="4E91B29A" w14:textId="77777777" w:rsidR="00A93503" w:rsidRDefault="00000000">
      <w:r>
        <w:t xml:space="preserve">Entropy at position </w:t>
      </w:r>
      <w:proofErr w:type="spellStart"/>
      <w:r>
        <w:t>i</w:t>
      </w:r>
      <w:proofErr w:type="spellEnd"/>
      <w:r>
        <w:t xml:space="preserve"> is computed using aligned sequences as: H = - Σ (p_b log2 p_b), where p_b represents the frequency of base b at that position.</w:t>
      </w:r>
    </w:p>
    <w:p w14:paraId="467DA8A5" w14:textId="77777777" w:rsidR="00A93503" w:rsidRDefault="00000000">
      <w:r>
        <w:t>High entropy indicates mutation hotspots, while low entropy indicates conserved regions. This contributes 1 numerical feature.</w:t>
      </w:r>
    </w:p>
    <w:p w14:paraId="5DBB8E97" w14:textId="77777777" w:rsidR="00A93503" w:rsidRPr="005124B1" w:rsidRDefault="00000000">
      <w:pPr>
        <w:pStyle w:val="Heading3"/>
        <w:rPr>
          <w:color w:val="000000" w:themeColor="text1"/>
        </w:rPr>
      </w:pPr>
      <w:r w:rsidRPr="005124B1">
        <w:rPr>
          <w:color w:val="000000" w:themeColor="text1"/>
        </w:rPr>
        <w:t>3.4 Local Mutation Density</w:t>
      </w:r>
    </w:p>
    <w:p w14:paraId="7F5A3016" w14:textId="77777777" w:rsidR="00A93503" w:rsidRDefault="00000000">
      <w:r>
        <w:t>Within the 101 bp window, mutation density is calculated as: Total mutations in window / (Number of sequences × 101).</w:t>
      </w:r>
    </w:p>
    <w:p w14:paraId="41F3B826" w14:textId="77777777" w:rsidR="00A93503" w:rsidRDefault="00000000">
      <w:r>
        <w:t>This identifies mutational hotspots and reflects regional mutation pressure. This contributes 1 numerical feature.</w:t>
      </w:r>
    </w:p>
    <w:p w14:paraId="3DEC62E5" w14:textId="77777777" w:rsidR="00A93503" w:rsidRPr="005124B1" w:rsidRDefault="00000000">
      <w:pPr>
        <w:pStyle w:val="Heading2"/>
        <w:rPr>
          <w:color w:val="000000" w:themeColor="text1"/>
        </w:rPr>
      </w:pPr>
      <w:r w:rsidRPr="005124B1">
        <w:rPr>
          <w:color w:val="000000" w:themeColor="text1"/>
        </w:rPr>
        <w:t>4. Total Feature Count</w:t>
      </w:r>
    </w:p>
    <w:p w14:paraId="309AC3E8" w14:textId="77777777" w:rsidR="00A93503" w:rsidRDefault="00000000">
      <w:r>
        <w:t>• One-hot encoded window: 404 features</w:t>
      </w:r>
    </w:p>
    <w:p w14:paraId="3C5A7785" w14:textId="77777777" w:rsidR="00A93503" w:rsidRDefault="00000000">
      <w:r>
        <w:t>• GC content: 1 feature</w:t>
      </w:r>
    </w:p>
    <w:p w14:paraId="75A7F3CB" w14:textId="77777777" w:rsidR="00A93503" w:rsidRDefault="00000000">
      <w:r>
        <w:t>• Shannon entropy: 1 feature</w:t>
      </w:r>
    </w:p>
    <w:p w14:paraId="4740A1B7" w14:textId="77777777" w:rsidR="00A93503" w:rsidRDefault="00000000">
      <w:r>
        <w:t>• Mutation density: 1 feature</w:t>
      </w:r>
    </w:p>
    <w:p w14:paraId="1588C3C6" w14:textId="77777777" w:rsidR="00A93503" w:rsidRDefault="00000000">
      <w:r>
        <w:t>Total: 407 features per genomic position.</w:t>
      </w:r>
    </w:p>
    <w:p w14:paraId="3ACB31B0" w14:textId="77777777" w:rsidR="00A93503" w:rsidRPr="005124B1" w:rsidRDefault="00000000">
      <w:pPr>
        <w:pStyle w:val="Heading2"/>
        <w:rPr>
          <w:color w:val="000000" w:themeColor="text1"/>
        </w:rPr>
      </w:pPr>
      <w:r w:rsidRPr="005124B1">
        <w:rPr>
          <w:color w:val="000000" w:themeColor="text1"/>
        </w:rPr>
        <w:t>5. Label Construction</w:t>
      </w:r>
    </w:p>
    <w:p w14:paraId="203DED9A" w14:textId="77777777" w:rsidR="00A93503" w:rsidRDefault="00000000">
      <w:r>
        <w:t>The target variable is binary: 1 if a mutation is observed at a position, and 0 otherwise. Mutation labels are derived from aligned genome sequences relative to the reference genome.</w:t>
      </w:r>
    </w:p>
    <w:p w14:paraId="02D0FD6C" w14:textId="77777777" w:rsidR="00A93503" w:rsidRPr="005124B1" w:rsidRDefault="00000000">
      <w:pPr>
        <w:pStyle w:val="Heading2"/>
        <w:rPr>
          <w:color w:val="000000" w:themeColor="text1"/>
        </w:rPr>
      </w:pPr>
      <w:r w:rsidRPr="005124B1">
        <w:rPr>
          <w:color w:val="000000" w:themeColor="text1"/>
        </w:rPr>
        <w:t>6. Justification for Feature Selection</w:t>
      </w:r>
    </w:p>
    <w:p w14:paraId="2696CEDC" w14:textId="77777777" w:rsidR="00A93503" w:rsidRDefault="00000000">
      <w:r>
        <w:t>The selected features were chosen based on biological relevance and compatibility with deep learning models. They capture neighboring nucleotide influence, encode sequence structure numerically, incorporate evolutionary variability, and avoid information leakage from global summary statistics.</w:t>
      </w:r>
    </w:p>
    <w:p w14:paraId="028A915D" w14:textId="77777777" w:rsidR="00A93503" w:rsidRDefault="00000000">
      <w:r>
        <w:t>Gene-level mutation density, dN/dS ratio, and synonymous/non-synonymous counts were excluded because they do not provide position-specific predictive information.</w:t>
      </w:r>
    </w:p>
    <w:p w14:paraId="18F75330" w14:textId="77777777" w:rsidR="00A93503" w:rsidRPr="005124B1" w:rsidRDefault="00000000">
      <w:pPr>
        <w:pStyle w:val="Heading2"/>
        <w:rPr>
          <w:color w:val="000000" w:themeColor="text1"/>
        </w:rPr>
      </w:pPr>
      <w:r w:rsidRPr="005124B1">
        <w:rPr>
          <w:color w:val="000000" w:themeColor="text1"/>
        </w:rPr>
        <w:t>7. Data Representation for Deep Learning</w:t>
      </w:r>
    </w:p>
    <w:p w14:paraId="633F06F8" w14:textId="77777777" w:rsidR="00A93503" w:rsidRDefault="00000000">
      <w:r>
        <w:t>The final dataset structure is represented as X ∈ R</w:t>
      </w:r>
      <w:proofErr w:type="gramStart"/>
      <w:r>
        <w:t>^(</w:t>
      </w:r>
      <w:proofErr w:type="gramEnd"/>
      <w:r>
        <w:t>N × 407), where N is the number of genomic positions. The feature matrix and labels are stored as NumPy arrays for efficient model training.</w:t>
      </w:r>
    </w:p>
    <w:p w14:paraId="03FB4139" w14:textId="77777777" w:rsidR="00A93503" w:rsidRPr="005124B1" w:rsidRDefault="00000000">
      <w:pPr>
        <w:pStyle w:val="Heading2"/>
        <w:rPr>
          <w:color w:val="000000" w:themeColor="text1"/>
        </w:rPr>
      </w:pPr>
      <w:r w:rsidRPr="005124B1">
        <w:rPr>
          <w:color w:val="000000" w:themeColor="text1"/>
        </w:rPr>
        <w:lastRenderedPageBreak/>
        <w:t>8. Conclusion</w:t>
      </w:r>
    </w:p>
    <w:p w14:paraId="5901D51D" w14:textId="77777777" w:rsidR="00A93503" w:rsidRDefault="00000000">
      <w:r>
        <w:t>The feature extraction pipeline integrates sequence context and evolutionary information to provide biologically meaningful inputs for mutation prediction. The 407-dimensional feature representation enables deep learning models to capture both local sequence patterns and evolutionary variability signals.</w:t>
      </w:r>
    </w:p>
    <w:sectPr w:rsidR="00A935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563967">
    <w:abstractNumId w:val="8"/>
  </w:num>
  <w:num w:numId="2" w16cid:durableId="1089235634">
    <w:abstractNumId w:val="6"/>
  </w:num>
  <w:num w:numId="3" w16cid:durableId="543717126">
    <w:abstractNumId w:val="5"/>
  </w:num>
  <w:num w:numId="4" w16cid:durableId="100033337">
    <w:abstractNumId w:val="4"/>
  </w:num>
  <w:num w:numId="5" w16cid:durableId="349723056">
    <w:abstractNumId w:val="7"/>
  </w:num>
  <w:num w:numId="6" w16cid:durableId="38020921">
    <w:abstractNumId w:val="3"/>
  </w:num>
  <w:num w:numId="7" w16cid:durableId="153109591">
    <w:abstractNumId w:val="2"/>
  </w:num>
  <w:num w:numId="8" w16cid:durableId="1861893007">
    <w:abstractNumId w:val="1"/>
  </w:num>
  <w:num w:numId="9" w16cid:durableId="53308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4B1"/>
    <w:rsid w:val="00600CDE"/>
    <w:rsid w:val="007B2E45"/>
    <w:rsid w:val="00A93503"/>
    <w:rsid w:val="00AA1D8D"/>
    <w:rsid w:val="00B47730"/>
    <w:rsid w:val="00CB0664"/>
    <w:rsid w:val="00F26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4042E"/>
  <w14:defaultImageDpi w14:val="300"/>
  <w15:docId w15:val="{30955C96-4C2D-4610-82A1-8233A70D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 G S</cp:lastModifiedBy>
  <cp:revision>3</cp:revision>
  <dcterms:created xsi:type="dcterms:W3CDTF">2026-02-23T12:50:00Z</dcterms:created>
  <dcterms:modified xsi:type="dcterms:W3CDTF">2026-02-23T12:50:00Z</dcterms:modified>
  <cp:category/>
</cp:coreProperties>
</file>