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2303" w14:textId="1C557D06" w:rsidR="00072412" w:rsidRDefault="008B79F4">
      <w:pPr>
        <w:rPr>
          <w:b/>
          <w:bCs/>
          <w:sz w:val="28"/>
          <w:szCs w:val="28"/>
        </w:rPr>
      </w:pPr>
      <w:r w:rsidRPr="008B79F4">
        <w:rPr>
          <w:b/>
          <w:bCs/>
          <w:sz w:val="28"/>
          <w:szCs w:val="28"/>
        </w:rPr>
        <w:t>Bibliography</w:t>
      </w:r>
    </w:p>
    <w:p w14:paraId="664EFC35" w14:textId="5838BB1D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 xml:space="preserve">Why </w:t>
      </w:r>
      <w:proofErr w:type="spellStart"/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Deeplearning</w:t>
      </w:r>
      <w:proofErr w:type="spellEnd"/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Alphafold</w:t>
      </w:r>
      <w:proofErr w:type="spellEnd"/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?</w:t>
      </w:r>
    </w:p>
    <w:p w14:paraId="7F2E78CF" w14:textId="41AE35DF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Advancement of AF for complex prediction and competitive binding to predict better binder.</w:t>
      </w:r>
    </w:p>
    <w:p w14:paraId="34DD8B32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3231C984" w14:textId="77777777" w:rsidR="008B79F4" w:rsidRDefault="008B79F4" w:rsidP="008B79F4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Senior, A. W. </w:t>
      </w:r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Improved protein structure prediction using potentials from deep learning. </w:t>
      </w:r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Nature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946E4F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577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706–710 (2020). </w:t>
      </w:r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(Why deep learning)</w:t>
      </w:r>
    </w:p>
    <w:p w14:paraId="3B0CAA50" w14:textId="77777777" w:rsidR="008B79F4" w:rsidRDefault="008B79F4" w:rsidP="008B79F4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Jumper, J. </w:t>
      </w:r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 Highly accurate protein structure prediction with </w:t>
      </w:r>
      <w:proofErr w:type="spellStart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AlphaFold</w:t>
      </w:r>
      <w:proofErr w:type="spellEnd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. </w:t>
      </w:r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Nature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596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583–589 (2021).</w:t>
      </w:r>
      <w:r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 </w:t>
      </w:r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(AF2 main paper)</w:t>
      </w:r>
    </w:p>
    <w:p w14:paraId="6FEEA556" w14:textId="77777777" w:rsidR="008B79F4" w:rsidRDefault="008B79F4" w:rsidP="008B79F4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proofErr w:type="spellStart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Tsaban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T. </w:t>
      </w:r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Harnessing protein folding neural networks for peptide–protein docking. </w:t>
      </w:r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Nat </w:t>
      </w:r>
      <w:proofErr w:type="spellStart"/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Commun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946E4F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13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176 (2022). </w:t>
      </w:r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(</w:t>
      </w:r>
      <w:proofErr w:type="gramStart"/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peptide</w:t>
      </w:r>
      <w:proofErr w:type="gramEnd"/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-protein complex prediction using AF2)</w:t>
      </w:r>
    </w:p>
    <w:p w14:paraId="3149D21F" w14:textId="77777777" w:rsidR="008B79F4" w:rsidRDefault="008B79F4" w:rsidP="008B79F4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Chang, L. &amp; Perez, A. Ranking Peptide Binders by Affinity with </w:t>
      </w:r>
      <w:proofErr w:type="spellStart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AlphaFold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**. </w:t>
      </w:r>
      <w:proofErr w:type="spellStart"/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Angew</w:t>
      </w:r>
      <w:proofErr w:type="spellEnd"/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. Chem. Int. Ed.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946E4F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62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e202213362 (2023).</w:t>
      </w:r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 xml:space="preserve"> (Competitive binding)</w:t>
      </w:r>
    </w:p>
    <w:p w14:paraId="780ECF18" w14:textId="77777777" w:rsidR="008B79F4" w:rsidRPr="008B79F4" w:rsidRDefault="008B79F4" w:rsidP="008B79F4">
      <w:pPr>
        <w:pStyle w:val="ListParagraph"/>
        <w:numPr>
          <w:ilvl w:val="0"/>
          <w:numId w:val="3"/>
        </w:numPr>
        <w:spacing w:before="0" w:after="0" w:line="240" w:lineRule="auto"/>
        <w:jc w:val="left"/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</w:pPr>
      <w:proofErr w:type="spellStart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Kryshtafovych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A., </w:t>
      </w:r>
      <w:proofErr w:type="spellStart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Schwede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T., </w:t>
      </w:r>
      <w:proofErr w:type="spellStart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Topf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M., Fidelis, K. &amp; </w:t>
      </w:r>
      <w:proofErr w:type="spellStart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Moult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J. Critical assessment of methods of protein structure prediction (CASP)—Round XIII. </w:t>
      </w:r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Proteins Struct </w:t>
      </w:r>
      <w:proofErr w:type="spellStart"/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Funct</w:t>
      </w:r>
      <w:proofErr w:type="spellEnd"/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 </w:t>
      </w:r>
      <w:proofErr w:type="spellStart"/>
      <w:r w:rsidRPr="00946E4F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Bioinform</w:t>
      </w:r>
      <w:proofErr w:type="spellEnd"/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946E4F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87</w:t>
      </w:r>
      <w:r w:rsidRPr="00946E4F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1011–1020 (2019). </w:t>
      </w:r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(</w:t>
      </w:r>
      <w:proofErr w:type="spellStart"/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Casp</w:t>
      </w:r>
      <w:proofErr w:type="spellEnd"/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 xml:space="preserve"> paper; idea is to look at Figure 1 and how they are related to peptides</w:t>
      </w:r>
      <w:r w:rsidRPr="008B79F4">
        <w:rPr>
          <w:color w:val="0070C0"/>
        </w:rPr>
        <w:sym w:font="Wingdings" w:char="F0E0"/>
      </w:r>
      <w:r w:rsidRPr="008B79F4">
        <w:rPr>
          <w:rFonts w:ascii="Calibri" w:eastAsia="Times New Roman" w:hAnsi="Calibri" w:cs="Calibri"/>
          <w:color w:val="0070C0"/>
          <w:kern w:val="0"/>
          <w:sz w:val="20"/>
          <w:szCs w:val="20"/>
          <w14:ligatures w14:val="none"/>
        </w:rPr>
        <w:t>why peptides)</w:t>
      </w:r>
    </w:p>
    <w:p w14:paraId="6B2BB1C5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</w:p>
    <w:p w14:paraId="3BDA8968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 w:rsidRPr="00946E4F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Why Peptides as drug?</w:t>
      </w:r>
    </w:p>
    <w:p w14:paraId="36A28C7B" w14:textId="16863F82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 xml:space="preserve">Small </w:t>
      </w: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molecules as drug and their limitation to be effective on</w:t>
      </w: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l</w:t>
      </w: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y for small set of proteins. Instead, peptides can be used for a lager set of proteins. Discuss their advantages over small molecules.</w:t>
      </w:r>
    </w:p>
    <w:p w14:paraId="14F42859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75BC93C1" w14:textId="77777777" w:rsidR="008B79F4" w:rsidRDefault="008B79F4" w:rsidP="008B79F4">
      <w:pPr>
        <w:pStyle w:val="ListParagraph"/>
        <w:numPr>
          <w:ilvl w:val="0"/>
          <w:numId w:val="4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proofErr w:type="spellStart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Fosgerau</w:t>
      </w:r>
      <w:proofErr w:type="spellEnd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K. &amp; Hoffmann, T. Peptide therapeutics: </w:t>
      </w:r>
      <w:proofErr w:type="gramStart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current status</w:t>
      </w:r>
      <w:proofErr w:type="gramEnd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 and future directions. </w:t>
      </w:r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Drug </w:t>
      </w:r>
      <w:proofErr w:type="spellStart"/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Discov</w:t>
      </w:r>
      <w:proofErr w:type="spellEnd"/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 Today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20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122–128 (2015)</w:t>
      </w:r>
    </w:p>
    <w:p w14:paraId="5E7D4082" w14:textId="77777777" w:rsidR="008B79F4" w:rsidRDefault="008B79F4" w:rsidP="008B79F4">
      <w:pPr>
        <w:pStyle w:val="ListParagraph"/>
        <w:numPr>
          <w:ilvl w:val="0"/>
          <w:numId w:val="4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proofErr w:type="spellStart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Muttenthaler</w:t>
      </w:r>
      <w:proofErr w:type="spellEnd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M., King, G. F., Adams, D. J. &amp; </w:t>
      </w:r>
      <w:proofErr w:type="spellStart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Alewood</w:t>
      </w:r>
      <w:proofErr w:type="spellEnd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P. F. Trends in peptide drug discovery. </w:t>
      </w:r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Nat Rev Drug </w:t>
      </w:r>
      <w:proofErr w:type="spellStart"/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Discov</w:t>
      </w:r>
      <w:proofErr w:type="spellEnd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20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, 309–325 (2021). </w:t>
      </w:r>
    </w:p>
    <w:p w14:paraId="06209C90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716D1919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Rational Design</w:t>
      </w:r>
    </w:p>
    <w:p w14:paraId="2C62D4C1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 w:rsidRPr="00EE7B03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They should then read about design to reduce the 20**N possible number of peptides sequences:</w:t>
      </w:r>
    </w:p>
    <w:p w14:paraId="6688AB4E" w14:textId="77777777" w:rsidR="008B79F4" w:rsidRPr="00EE7B03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2420C7B6" w14:textId="77777777" w:rsidR="008B79F4" w:rsidRDefault="008B79F4" w:rsidP="008B79F4">
      <w:pPr>
        <w:pStyle w:val="ListParagraph"/>
        <w:numPr>
          <w:ilvl w:val="0"/>
          <w:numId w:val="2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proofErr w:type="spellStart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Vanhee</w:t>
      </w:r>
      <w:proofErr w:type="spellEnd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P. </w:t>
      </w:r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Computational design of peptide ligands. </w:t>
      </w:r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Trends </w:t>
      </w:r>
      <w:proofErr w:type="spellStart"/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Biotechnol</w:t>
      </w:r>
      <w:proofErr w:type="spellEnd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29, 231–239 (2011).</w:t>
      </w:r>
    </w:p>
    <w:p w14:paraId="189A505C" w14:textId="77777777" w:rsidR="008B79F4" w:rsidRPr="00EE7B03" w:rsidRDefault="008B79F4" w:rsidP="008B79F4">
      <w:pPr>
        <w:pStyle w:val="ListParagraph"/>
        <w:numPr>
          <w:ilvl w:val="0"/>
          <w:numId w:val="2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Farhadi, T. &amp; </w:t>
      </w:r>
      <w:proofErr w:type="spellStart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Hashemian</w:t>
      </w:r>
      <w:proofErr w:type="spellEnd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S. M. Computer-aided design of amino acid-based therapeutics: a review. </w:t>
      </w:r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Drug Des Dev </w:t>
      </w:r>
      <w:proofErr w:type="spellStart"/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Ther</w:t>
      </w:r>
      <w:proofErr w:type="spellEnd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EE7B03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12</w:t>
      </w:r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1239–1254 (2018).</w:t>
      </w:r>
    </w:p>
    <w:p w14:paraId="2A1E8F52" w14:textId="77777777" w:rsidR="008B79F4" w:rsidRPr="00DD4FB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2C22F1EB" w14:textId="77777777" w:rsidR="008B79F4" w:rsidRPr="00946E4F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</w:p>
    <w:p w14:paraId="53A78149" w14:textId="5C47C0BC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 xml:space="preserve">Specific to </w:t>
      </w: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individual</w:t>
      </w: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 xml:space="preserve"> research</w:t>
      </w:r>
      <w:r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 xml:space="preserve"> problem</w:t>
      </w: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:</w:t>
      </w:r>
    </w:p>
    <w:p w14:paraId="165BF97B" w14:textId="413FECDB" w:rsidR="008B79F4" w:rsidRPr="00B92CD8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Previous paper:</w:t>
      </w:r>
    </w:p>
    <w:p w14:paraId="617E9463" w14:textId="77777777" w:rsidR="008B79F4" w:rsidRPr="00B92CD8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500F765A" w14:textId="77777777" w:rsidR="008B79F4" w:rsidRPr="00B92CD8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P53</w:t>
      </w:r>
    </w:p>
    <w:p w14:paraId="7C3C331B" w14:textId="77777777" w:rsidR="008B79F4" w:rsidRDefault="008B79F4" w:rsidP="008B79F4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proofErr w:type="spellStart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Kussie</w:t>
      </w:r>
      <w:proofErr w:type="spellEnd"/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P. H. </w:t>
      </w:r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Structure of the MDM2 oncoprotein bound to the p53 tumor suppressor transactivation domain. </w:t>
      </w:r>
      <w:r w:rsidRPr="00B92CD8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Science (New York, NY)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274</w:t>
      </w:r>
      <w:r w:rsidRPr="00B92CD8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948 (1996).</w:t>
      </w:r>
    </w:p>
    <w:p w14:paraId="2C819FE6" w14:textId="77777777" w:rsidR="008B79F4" w:rsidRDefault="008B79F4" w:rsidP="008B79F4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MDM2/X: </w:t>
      </w:r>
      <w:proofErr w:type="gramStart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1.Morrone</w:t>
      </w:r>
      <w:proofErr w:type="gramEnd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J. A. </w:t>
      </w:r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Molecular Simulations Identify Binding Poses and Approximate Affinities of Stapled α-Helical Peptides to MDM2 and MDMX. </w:t>
      </w:r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J Chem Theory </w:t>
      </w:r>
      <w:proofErr w:type="spellStart"/>
      <w:r w:rsidRPr="00EE7B03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Comput</w:t>
      </w:r>
      <w:proofErr w:type="spellEnd"/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EE7B03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13</w:t>
      </w:r>
      <w:r w:rsidRPr="00EE7B03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863–869 (2017).</w:t>
      </w:r>
    </w:p>
    <w:p w14:paraId="03E01599" w14:textId="77777777" w:rsidR="008B79F4" w:rsidRPr="00DD4FB4" w:rsidRDefault="008B79F4" w:rsidP="008B79F4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Jiang, L. &amp; </w:t>
      </w:r>
      <w:proofErr w:type="spellStart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Zawacka-Pankau</w:t>
      </w:r>
      <w:proofErr w:type="spellEnd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J. The p53/MDM2/MDMX-targeted therapies—a clinical synopsis.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Cell Death Dis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11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237 (2020).</w:t>
      </w:r>
    </w:p>
    <w:p w14:paraId="46A9364B" w14:textId="77777777" w:rsidR="008B79F4" w:rsidRPr="00DD4FB4" w:rsidRDefault="008B79F4" w:rsidP="008B79F4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proofErr w:type="spellStart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ElSawy</w:t>
      </w:r>
      <w:proofErr w:type="spellEnd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K. M., Lane, D. P., Verma, C. S. &amp; Caves, L. S. D. Recognition Dynamics of p53 and MDM2: Implications for Peptide Design.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J Phys Chem B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120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320–328 (2016).</w:t>
      </w:r>
    </w:p>
    <w:p w14:paraId="6494BF6C" w14:textId="77777777" w:rsidR="008B79F4" w:rsidRPr="00DD4FB4" w:rsidRDefault="008B79F4" w:rsidP="008B79F4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Khoo, K. H., Hoe, K. K., Verma, C. S. &amp; Lane, D. P. Drugging the p53 pathway: understanding the route to clinical efficacy.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Nat Rev Drug </w:t>
      </w:r>
      <w:proofErr w:type="spellStart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Discov</w:t>
      </w:r>
      <w:proofErr w:type="spellEnd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13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217–236 (2014).</w:t>
      </w:r>
    </w:p>
    <w:p w14:paraId="39808CD1" w14:textId="77777777" w:rsidR="008B79F4" w:rsidRPr="00DD4FB4" w:rsidRDefault="008B79F4" w:rsidP="008B79F4">
      <w:pPr>
        <w:pStyle w:val="ListParagraph"/>
        <w:numPr>
          <w:ilvl w:val="0"/>
          <w:numId w:val="1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 xml:space="preserve">Moll, U. M. &amp; </w:t>
      </w:r>
      <w:proofErr w:type="spellStart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Petrenko</w:t>
      </w:r>
      <w:proofErr w:type="spellEnd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O. The MDM2-p53 interaction.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Molecular cancer </w:t>
      </w:r>
      <w:proofErr w:type="gramStart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research :</w:t>
      </w:r>
      <w:proofErr w:type="gramEnd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 MCR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1001–1008 (2003).</w:t>
      </w:r>
    </w:p>
    <w:p w14:paraId="13A70E10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</w:p>
    <w:p w14:paraId="419E6FF2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0AD33104" w14:textId="4C6E617A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  <w:r w:rsidRPr="00B92CD8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lastRenderedPageBreak/>
        <w:t xml:space="preserve">BET </w:t>
      </w:r>
    </w:p>
    <w:p w14:paraId="630C1894" w14:textId="77777777" w:rsidR="008B79F4" w:rsidRPr="00B92CD8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</w:pPr>
    </w:p>
    <w:p w14:paraId="6217D375" w14:textId="77777777" w:rsidR="008B79F4" w:rsidRDefault="008B79F4" w:rsidP="008B79F4">
      <w:pPr>
        <w:pStyle w:val="ListParagraph"/>
        <w:numPr>
          <w:ilvl w:val="0"/>
          <w:numId w:val="5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proofErr w:type="spellStart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Filippakopoulos</w:t>
      </w:r>
      <w:proofErr w:type="spellEnd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P.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Selective inhibition of BET bromodomains.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Nature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468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1067–1073 (2010).</w:t>
      </w:r>
    </w:p>
    <w:p w14:paraId="47182CB5" w14:textId="77777777" w:rsidR="008B79F4" w:rsidRDefault="008B79F4" w:rsidP="008B79F4">
      <w:pPr>
        <w:pStyle w:val="ListParagraph"/>
        <w:numPr>
          <w:ilvl w:val="0"/>
          <w:numId w:val="5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Crowe, B. L.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Structure of the Brd4 ET domain bound to a C-terminal motif from γ-retroviral integrases reveals a conserved mechanism of interaction.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Proc National </w:t>
      </w:r>
      <w:proofErr w:type="spellStart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Acad</w:t>
      </w:r>
      <w:proofErr w:type="spellEnd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 Sci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113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2086–2091 (2016).</w:t>
      </w:r>
    </w:p>
    <w:p w14:paraId="0578099A" w14:textId="77777777" w:rsidR="008B79F4" w:rsidRDefault="008B79F4" w:rsidP="008B79F4">
      <w:pPr>
        <w:pStyle w:val="ListParagraph"/>
        <w:numPr>
          <w:ilvl w:val="0"/>
          <w:numId w:val="5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Zhang, Q.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Structural Mechanism of Transcriptional Regulator NSD3 Recognition by the ET Domain of BRD4.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Structure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24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1201–1208 (2016).</w:t>
      </w:r>
    </w:p>
    <w:p w14:paraId="6915175C" w14:textId="77777777" w:rsidR="008B79F4" w:rsidRDefault="008B79F4" w:rsidP="008B79F4">
      <w:pPr>
        <w:pStyle w:val="ListParagraph"/>
        <w:numPr>
          <w:ilvl w:val="0"/>
          <w:numId w:val="5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Wang, N., Wu, R., Tang, D. &amp; Kang, R. The BET family in immunity and disease.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Signal </w:t>
      </w:r>
      <w:proofErr w:type="spellStart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Transduct</w:t>
      </w:r>
      <w:proofErr w:type="spellEnd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 Target </w:t>
      </w:r>
      <w:proofErr w:type="spellStart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Ther</w:t>
      </w:r>
      <w:proofErr w:type="spellEnd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6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23 (2021).</w:t>
      </w:r>
    </w:p>
    <w:p w14:paraId="692E0A06" w14:textId="77777777" w:rsidR="008B79F4" w:rsidRDefault="008B79F4" w:rsidP="008B79F4">
      <w:pPr>
        <w:pStyle w:val="ListParagraph"/>
        <w:numPr>
          <w:ilvl w:val="0"/>
          <w:numId w:val="5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Cheung, K. L., Kim, C. &amp; Zhou, M.-M. The Functions of BET Proteins in Gene Transcription of Biology and Diseases.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 xml:space="preserve">Frontiers Mol </w:t>
      </w:r>
      <w:proofErr w:type="spellStart"/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Biosci</w:t>
      </w:r>
      <w:proofErr w:type="spellEnd"/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8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728777 (2021).</w:t>
      </w:r>
    </w:p>
    <w:p w14:paraId="26436DB6" w14:textId="77777777" w:rsidR="008B79F4" w:rsidRPr="00DD4FB4" w:rsidRDefault="008B79F4" w:rsidP="008B79F4">
      <w:pPr>
        <w:pStyle w:val="ListParagraph"/>
        <w:numPr>
          <w:ilvl w:val="0"/>
          <w:numId w:val="5"/>
        </w:num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Mondal, A.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et al.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Structure Determination of Challenging Protein–Peptide Complexes Combining NMR Chemical Shift Data and Molecular Dynamics Simulations. </w:t>
      </w:r>
      <w:r w:rsidRPr="00DD4FB4">
        <w:rPr>
          <w:rFonts w:ascii="Calibri" w:eastAsia="Times New Roman" w:hAnsi="Calibri" w:cs="Calibri"/>
          <w:i/>
          <w:iCs/>
          <w:color w:val="212121"/>
          <w:kern w:val="0"/>
          <w:sz w:val="20"/>
          <w:szCs w:val="20"/>
          <w14:ligatures w14:val="none"/>
        </w:rPr>
        <w:t>J Chem Inf Model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 </w:t>
      </w:r>
      <w:r w:rsidRPr="00DD4FB4">
        <w:rPr>
          <w:rFonts w:ascii="Calibri" w:eastAsia="Times New Roman" w:hAnsi="Calibri" w:cs="Calibri"/>
          <w:b/>
          <w:bCs/>
          <w:color w:val="212121"/>
          <w:kern w:val="0"/>
          <w:sz w:val="20"/>
          <w:szCs w:val="20"/>
          <w14:ligatures w14:val="none"/>
        </w:rPr>
        <w:t>63</w:t>
      </w:r>
      <w:r w:rsidRPr="00DD4FB4"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  <w:t>, 2058–2072 (2023).</w:t>
      </w:r>
    </w:p>
    <w:p w14:paraId="03D49751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</w:p>
    <w:p w14:paraId="0DBDBABF" w14:textId="77777777" w:rsidR="008B79F4" w:rsidRDefault="008B79F4" w:rsidP="008B79F4">
      <w:pPr>
        <w:spacing w:before="0" w:after="0" w:line="240" w:lineRule="auto"/>
        <w:jc w:val="left"/>
        <w:rPr>
          <w:rFonts w:ascii="Calibri" w:eastAsia="Times New Roman" w:hAnsi="Calibri" w:cs="Calibri"/>
          <w:color w:val="212121"/>
          <w:kern w:val="0"/>
          <w:sz w:val="20"/>
          <w:szCs w:val="20"/>
          <w14:ligatures w14:val="none"/>
        </w:rPr>
      </w:pPr>
    </w:p>
    <w:p w14:paraId="6DBA04E5" w14:textId="77777777" w:rsidR="008B79F4" w:rsidRPr="008B79F4" w:rsidRDefault="008B79F4">
      <w:pPr>
        <w:rPr>
          <w:b/>
          <w:bCs/>
          <w:sz w:val="28"/>
          <w:szCs w:val="28"/>
        </w:rPr>
      </w:pPr>
    </w:p>
    <w:sectPr w:rsidR="008B79F4" w:rsidRPr="008B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17F"/>
    <w:multiLevelType w:val="hybridMultilevel"/>
    <w:tmpl w:val="1EB4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50BC"/>
    <w:multiLevelType w:val="hybridMultilevel"/>
    <w:tmpl w:val="58BC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5005"/>
    <w:multiLevelType w:val="hybridMultilevel"/>
    <w:tmpl w:val="5C2E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3A40"/>
    <w:multiLevelType w:val="hybridMultilevel"/>
    <w:tmpl w:val="4E02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01C64"/>
    <w:multiLevelType w:val="hybridMultilevel"/>
    <w:tmpl w:val="ACDE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78739">
    <w:abstractNumId w:val="0"/>
  </w:num>
  <w:num w:numId="2" w16cid:durableId="232547105">
    <w:abstractNumId w:val="1"/>
  </w:num>
  <w:num w:numId="3" w16cid:durableId="1069114965">
    <w:abstractNumId w:val="3"/>
  </w:num>
  <w:num w:numId="4" w16cid:durableId="616372090">
    <w:abstractNumId w:val="2"/>
  </w:num>
  <w:num w:numId="5" w16cid:durableId="1516075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F4"/>
    <w:rsid w:val="000618DA"/>
    <w:rsid w:val="00072412"/>
    <w:rsid w:val="008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DF166"/>
  <w15:chartTrackingRefBased/>
  <w15:docId w15:val="{53443F2A-3A80-3847-8DA1-8CE207DA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Bhumika</dc:creator>
  <cp:keywords/>
  <dc:description/>
  <cp:lastModifiedBy>Singh, Bhumika</cp:lastModifiedBy>
  <cp:revision>1</cp:revision>
  <dcterms:created xsi:type="dcterms:W3CDTF">2023-08-03T22:12:00Z</dcterms:created>
  <dcterms:modified xsi:type="dcterms:W3CDTF">2023-08-03T22:15:00Z</dcterms:modified>
</cp:coreProperties>
</file>