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D910" w14:textId="77777777" w:rsidR="00507437" w:rsidRPr="003829A7" w:rsidRDefault="00000000">
      <w:pPr>
        <w:jc w:val="right"/>
        <w:rPr>
          <w:rFonts w:ascii="Times New Roman" w:hAnsi="Times New Roman" w:cs="Times New Roman"/>
        </w:rPr>
      </w:pPr>
      <w:r w:rsidRPr="003829A7">
        <w:rPr>
          <w:rFonts w:ascii="Times New Roman" w:hAnsi="Times New Roman" w:cs="Times New Roman"/>
          <w:b/>
          <w:sz w:val="16"/>
        </w:rPr>
        <w:t>WholeCart — QA Release Pack</w:t>
      </w:r>
    </w:p>
    <w:p w14:paraId="49D1054A" w14:textId="77777777" w:rsidR="00507437" w:rsidRPr="003829A7" w:rsidRDefault="00000000">
      <w:pPr>
        <w:pStyle w:val="Title"/>
        <w:rPr>
          <w:rFonts w:ascii="Times New Roman" w:hAnsi="Times New Roman" w:cs="Times New Roman"/>
        </w:rPr>
      </w:pPr>
      <w:r w:rsidRPr="003829A7">
        <w:rPr>
          <w:rFonts w:ascii="Times New Roman" w:hAnsi="Times New Roman" w:cs="Times New Roman"/>
        </w:rPr>
        <w:t>Questions &amp; Assumptions Log</w:t>
      </w:r>
    </w:p>
    <w:p w14:paraId="72C4D6D9" w14:textId="024D7049" w:rsidR="00507437" w:rsidRPr="003829A7" w:rsidRDefault="00000000">
      <w:pPr>
        <w:rPr>
          <w:rFonts w:ascii="Times New Roman" w:hAnsi="Times New Roman" w:cs="Times New Roman"/>
          <w:sz w:val="24"/>
          <w:szCs w:val="24"/>
        </w:rPr>
      </w:pPr>
      <w:r w:rsidRPr="003829A7">
        <w:rPr>
          <w:rFonts w:ascii="Times New Roman" w:hAnsi="Times New Roman" w:cs="Times New Roman"/>
          <w:sz w:val="32"/>
          <w:szCs w:val="32"/>
        </w:rPr>
        <w:t>Application: WholeCart</w:t>
      </w:r>
      <w:r w:rsidRPr="003829A7">
        <w:rPr>
          <w:rFonts w:ascii="Times New Roman" w:hAnsi="Times New Roman" w:cs="Times New Roman"/>
        </w:rPr>
        <w:t xml:space="preserve"> </w:t>
      </w:r>
      <w:r w:rsidRPr="003829A7">
        <w:rPr>
          <w:rFonts w:ascii="Times New Roman" w:hAnsi="Times New Roman" w:cs="Times New Roman"/>
        </w:rPr>
        <w:br/>
      </w:r>
      <w:r w:rsidRPr="003829A7">
        <w:rPr>
          <w:rFonts w:ascii="Times New Roman" w:hAnsi="Times New Roman" w:cs="Times New Roman"/>
          <w:sz w:val="24"/>
          <w:szCs w:val="24"/>
        </w:rPr>
        <w:t xml:space="preserve">Assessment basis: supplied application URL, supplied role credentials, and the provided Catalogue screenshot. </w:t>
      </w:r>
      <w:r w:rsidRPr="003829A7">
        <w:rPr>
          <w:rFonts w:ascii="Times New Roman" w:hAnsi="Times New Roman" w:cs="Times New Roman"/>
          <w:i/>
          <w:sz w:val="24"/>
          <w:szCs w:val="24"/>
        </w:rPr>
        <w:t xml:space="preserve">Execution </w:t>
      </w:r>
      <w:proofErr w:type="gramStart"/>
      <w:r w:rsidRPr="003829A7">
        <w:rPr>
          <w:rFonts w:ascii="Times New Roman" w:hAnsi="Times New Roman" w:cs="Times New Roman"/>
          <w:i/>
          <w:sz w:val="24"/>
          <w:szCs w:val="24"/>
        </w:rPr>
        <w:t>note</w:t>
      </w:r>
      <w:proofErr w:type="gramEnd"/>
      <w:r w:rsidRPr="003829A7">
        <w:rPr>
          <w:rFonts w:ascii="Times New Roman" w:hAnsi="Times New Roman" w:cs="Times New Roman"/>
          <w:i/>
          <w:sz w:val="24"/>
          <w:szCs w:val="24"/>
        </w:rPr>
        <w:t>: the application endpoint was not reachable from the QA execution environment during this preparation run, so live execution results are explicitly marked as pending/blocked rather than fabricated.</w:t>
      </w:r>
    </w:p>
    <w:p w14:paraId="0473436A" w14:textId="77777777" w:rsidR="00507437" w:rsidRPr="003829A7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3829A7">
        <w:rPr>
          <w:rFonts w:ascii="Times New Roman" w:hAnsi="Times New Roman" w:cs="Times New Roman"/>
          <w:sz w:val="32"/>
          <w:szCs w:val="32"/>
        </w:rPr>
        <w:t>1. Open Questions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507437" w:rsidRPr="003829A7" w14:paraId="6468EEDE" w14:textId="77777777">
        <w:trPr>
          <w:jc w:val="center"/>
        </w:trPr>
        <w:tc>
          <w:tcPr>
            <w:tcW w:w="2592" w:type="dxa"/>
            <w:shd w:val="clear" w:color="auto" w:fill="0F766E"/>
          </w:tcPr>
          <w:p w14:paraId="54EDE14B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2592" w:type="dxa"/>
            <w:shd w:val="clear" w:color="auto" w:fill="0F766E"/>
          </w:tcPr>
          <w:p w14:paraId="44E8E565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Question</w:t>
            </w:r>
          </w:p>
        </w:tc>
        <w:tc>
          <w:tcPr>
            <w:tcW w:w="2592" w:type="dxa"/>
            <w:shd w:val="clear" w:color="auto" w:fill="0F766E"/>
          </w:tcPr>
          <w:p w14:paraId="35B523CA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Owner</w:t>
            </w:r>
          </w:p>
        </w:tc>
        <w:tc>
          <w:tcPr>
            <w:tcW w:w="2592" w:type="dxa"/>
            <w:shd w:val="clear" w:color="auto" w:fill="0F766E"/>
          </w:tcPr>
          <w:p w14:paraId="012ADCE5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Status</w:t>
            </w:r>
          </w:p>
        </w:tc>
      </w:tr>
      <w:tr w:rsidR="00507437" w:rsidRPr="003829A7" w14:paraId="11800096" w14:textId="77777777">
        <w:trPr>
          <w:jc w:val="center"/>
        </w:trPr>
        <w:tc>
          <w:tcPr>
            <w:tcW w:w="2592" w:type="dxa"/>
          </w:tcPr>
          <w:p w14:paraId="28A0A4E6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Q-01</w:t>
            </w:r>
          </w:p>
        </w:tc>
        <w:tc>
          <w:tcPr>
            <w:tcW w:w="2592" w:type="dxa"/>
          </w:tcPr>
          <w:p w14:paraId="35E2E039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What is the authoritative business rule for buyer/seller/operator permissions on Catalogue, Cart, Orders, Invoices and Statements?</w:t>
            </w:r>
          </w:p>
        </w:tc>
        <w:tc>
          <w:tcPr>
            <w:tcW w:w="2592" w:type="dxa"/>
          </w:tcPr>
          <w:p w14:paraId="5BC0CE49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Product/BA</w:t>
            </w:r>
          </w:p>
        </w:tc>
        <w:tc>
          <w:tcPr>
            <w:tcW w:w="2592" w:type="dxa"/>
          </w:tcPr>
          <w:p w14:paraId="0EB6AFB9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507437" w:rsidRPr="003829A7" w14:paraId="1BA69AA8" w14:textId="77777777">
        <w:trPr>
          <w:jc w:val="center"/>
        </w:trPr>
        <w:tc>
          <w:tcPr>
            <w:tcW w:w="2592" w:type="dxa"/>
          </w:tcPr>
          <w:p w14:paraId="76A32CB1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Q-02</w:t>
            </w:r>
          </w:p>
        </w:tc>
        <w:tc>
          <w:tcPr>
            <w:tcW w:w="2592" w:type="dxa"/>
          </w:tcPr>
          <w:p w14:paraId="6CF676F6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Are prices stored/displayed tax-exclusive by design, and where is GST calculated—line, order, invoice, or all three?</w:t>
            </w:r>
          </w:p>
        </w:tc>
        <w:tc>
          <w:tcPr>
            <w:tcW w:w="2592" w:type="dxa"/>
          </w:tcPr>
          <w:p w14:paraId="463EB487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Product/Finance</w:t>
            </w:r>
          </w:p>
        </w:tc>
        <w:tc>
          <w:tcPr>
            <w:tcW w:w="2592" w:type="dxa"/>
          </w:tcPr>
          <w:p w14:paraId="6EA06DF1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507437" w:rsidRPr="003829A7" w14:paraId="0F4ADFC5" w14:textId="77777777">
        <w:trPr>
          <w:jc w:val="center"/>
        </w:trPr>
        <w:tc>
          <w:tcPr>
            <w:tcW w:w="2592" w:type="dxa"/>
          </w:tcPr>
          <w:p w14:paraId="6187EC48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Q-03</w:t>
            </w:r>
          </w:p>
        </w:tc>
        <w:tc>
          <w:tcPr>
            <w:tcW w:w="2592" w:type="dxa"/>
          </w:tcPr>
          <w:p w14:paraId="36806A69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What are the supported order lifecycle states and permitted state transitions?</w:t>
            </w:r>
          </w:p>
        </w:tc>
        <w:tc>
          <w:tcPr>
            <w:tcW w:w="2592" w:type="dxa"/>
          </w:tcPr>
          <w:p w14:paraId="777F1954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Product/Operations</w:t>
            </w:r>
          </w:p>
        </w:tc>
        <w:tc>
          <w:tcPr>
            <w:tcW w:w="2592" w:type="dxa"/>
          </w:tcPr>
          <w:p w14:paraId="61FBADE4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507437" w:rsidRPr="003829A7" w14:paraId="00DE11B3" w14:textId="77777777">
        <w:trPr>
          <w:jc w:val="center"/>
        </w:trPr>
        <w:tc>
          <w:tcPr>
            <w:tcW w:w="2592" w:type="dxa"/>
          </w:tcPr>
          <w:p w14:paraId="4677372C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Q-04</w:t>
            </w:r>
          </w:p>
        </w:tc>
        <w:tc>
          <w:tcPr>
            <w:tcW w:w="2592" w:type="dxa"/>
          </w:tcPr>
          <w:p w14:paraId="668C6C12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Can buyers order fractional quantities, or only whole case/piece quantities?</w:t>
            </w:r>
          </w:p>
        </w:tc>
        <w:tc>
          <w:tcPr>
            <w:tcW w:w="2592" w:type="dxa"/>
          </w:tcPr>
          <w:p w14:paraId="341AED9E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2592" w:type="dxa"/>
          </w:tcPr>
          <w:p w14:paraId="081AA2A4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507437" w:rsidRPr="003829A7" w14:paraId="3EFC8C6B" w14:textId="77777777">
        <w:trPr>
          <w:jc w:val="center"/>
        </w:trPr>
        <w:tc>
          <w:tcPr>
            <w:tcW w:w="2592" w:type="dxa"/>
          </w:tcPr>
          <w:p w14:paraId="6259A245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Q-05</w:t>
            </w:r>
          </w:p>
        </w:tc>
        <w:tc>
          <w:tcPr>
            <w:tcW w:w="2592" w:type="dxa"/>
          </w:tcPr>
          <w:p w14:paraId="23B30B49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How is inventory reserved/released, and what happens when stock changes between cart and checkout?</w:t>
            </w:r>
          </w:p>
        </w:tc>
        <w:tc>
          <w:tcPr>
            <w:tcW w:w="2592" w:type="dxa"/>
          </w:tcPr>
          <w:p w14:paraId="26C4A2C6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Product/Backend</w:t>
            </w:r>
          </w:p>
        </w:tc>
        <w:tc>
          <w:tcPr>
            <w:tcW w:w="2592" w:type="dxa"/>
          </w:tcPr>
          <w:p w14:paraId="60A542B2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507437" w:rsidRPr="003829A7" w14:paraId="2BAF368E" w14:textId="77777777">
        <w:trPr>
          <w:jc w:val="center"/>
        </w:trPr>
        <w:tc>
          <w:tcPr>
            <w:tcW w:w="2592" w:type="dxa"/>
          </w:tcPr>
          <w:p w14:paraId="79A3B1F8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Q-06</w:t>
            </w:r>
          </w:p>
        </w:tc>
        <w:tc>
          <w:tcPr>
            <w:tcW w:w="2592" w:type="dxa"/>
          </w:tcPr>
          <w:p w14:paraId="17EF73C7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What is the authoritative API specification (OpenAPI/Swagger), including authentication and error contracts?</w:t>
            </w:r>
          </w:p>
        </w:tc>
        <w:tc>
          <w:tcPr>
            <w:tcW w:w="2592" w:type="dxa"/>
          </w:tcPr>
          <w:p w14:paraId="5839565C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  <w:tc>
          <w:tcPr>
            <w:tcW w:w="2592" w:type="dxa"/>
          </w:tcPr>
          <w:p w14:paraId="2AB2E2B0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507437" w:rsidRPr="003829A7" w14:paraId="2AF4047C" w14:textId="77777777">
        <w:trPr>
          <w:jc w:val="center"/>
        </w:trPr>
        <w:tc>
          <w:tcPr>
            <w:tcW w:w="2592" w:type="dxa"/>
          </w:tcPr>
          <w:p w14:paraId="7BCCBD66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Q-07</w:t>
            </w:r>
          </w:p>
        </w:tc>
        <w:tc>
          <w:tcPr>
            <w:tcW w:w="2592" w:type="dxa"/>
          </w:tcPr>
          <w:p w14:paraId="788AEDC2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 xml:space="preserve">What </w:t>
            </w:r>
            <w:proofErr w:type="gramStart"/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proofErr w:type="gramEnd"/>
            <w:r w:rsidRPr="003829A7">
              <w:rPr>
                <w:rFonts w:ascii="Times New Roman" w:hAnsi="Times New Roman" w:cs="Times New Roman"/>
                <w:sz w:val="24"/>
                <w:szCs w:val="24"/>
              </w:rPr>
              <w:t xml:space="preserve"> the expected invoice/statement calculation and reconciliation rules, including rounding?</w:t>
            </w:r>
          </w:p>
        </w:tc>
        <w:tc>
          <w:tcPr>
            <w:tcW w:w="2592" w:type="dxa"/>
          </w:tcPr>
          <w:p w14:paraId="04D0277D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2592" w:type="dxa"/>
          </w:tcPr>
          <w:p w14:paraId="40878B33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507437" w:rsidRPr="003829A7" w14:paraId="41284103" w14:textId="77777777">
        <w:trPr>
          <w:jc w:val="center"/>
        </w:trPr>
        <w:tc>
          <w:tcPr>
            <w:tcW w:w="2592" w:type="dxa"/>
          </w:tcPr>
          <w:p w14:paraId="6E5CE488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Q-08</w:t>
            </w:r>
          </w:p>
        </w:tc>
        <w:tc>
          <w:tcPr>
            <w:tcW w:w="2592" w:type="dxa"/>
          </w:tcPr>
          <w:p w14:paraId="7CB82D4A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Are catalogue search/filter results paginated, and what are the performance targets for 500+ products?</w:t>
            </w:r>
          </w:p>
        </w:tc>
        <w:tc>
          <w:tcPr>
            <w:tcW w:w="2592" w:type="dxa"/>
          </w:tcPr>
          <w:p w14:paraId="40AE61B3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  <w:tc>
          <w:tcPr>
            <w:tcW w:w="2592" w:type="dxa"/>
          </w:tcPr>
          <w:p w14:paraId="7CE6E691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507437" w:rsidRPr="003829A7" w14:paraId="4A6AE6DE" w14:textId="77777777">
        <w:trPr>
          <w:jc w:val="center"/>
        </w:trPr>
        <w:tc>
          <w:tcPr>
            <w:tcW w:w="2592" w:type="dxa"/>
          </w:tcPr>
          <w:p w14:paraId="4052DF24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Q-09</w:t>
            </w:r>
          </w:p>
        </w:tc>
        <w:tc>
          <w:tcPr>
            <w:tcW w:w="2592" w:type="dxa"/>
          </w:tcPr>
          <w:p w14:paraId="464733C1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Which browsers/devices are in release scope?</w:t>
            </w:r>
          </w:p>
        </w:tc>
        <w:tc>
          <w:tcPr>
            <w:tcW w:w="2592" w:type="dxa"/>
          </w:tcPr>
          <w:p w14:paraId="34995E7D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Release/QA</w:t>
            </w:r>
          </w:p>
        </w:tc>
        <w:tc>
          <w:tcPr>
            <w:tcW w:w="2592" w:type="dxa"/>
          </w:tcPr>
          <w:p w14:paraId="7ACAA00C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507437" w:rsidRPr="003829A7" w14:paraId="2DAA2919" w14:textId="77777777">
        <w:trPr>
          <w:jc w:val="center"/>
        </w:trPr>
        <w:tc>
          <w:tcPr>
            <w:tcW w:w="2592" w:type="dxa"/>
          </w:tcPr>
          <w:p w14:paraId="0227ABE4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Q-10</w:t>
            </w:r>
          </w:p>
        </w:tc>
        <w:tc>
          <w:tcPr>
            <w:tcW w:w="2592" w:type="dxa"/>
          </w:tcPr>
          <w:p w14:paraId="46FA0A1E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 xml:space="preserve">What </w:t>
            </w:r>
            <w:proofErr w:type="gramStart"/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proofErr w:type="gramEnd"/>
            <w:r w:rsidRPr="003829A7">
              <w:rPr>
                <w:rFonts w:ascii="Times New Roman" w:hAnsi="Times New Roman" w:cs="Times New Roman"/>
                <w:sz w:val="24"/>
                <w:szCs w:val="24"/>
              </w:rPr>
              <w:t xml:space="preserve"> the target availability, response-time and concurrency SLOs for the application?</w:t>
            </w:r>
          </w:p>
        </w:tc>
        <w:tc>
          <w:tcPr>
            <w:tcW w:w="2592" w:type="dxa"/>
          </w:tcPr>
          <w:p w14:paraId="0162F4E6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Engineering/SRE</w:t>
            </w:r>
          </w:p>
        </w:tc>
        <w:tc>
          <w:tcPr>
            <w:tcW w:w="2592" w:type="dxa"/>
          </w:tcPr>
          <w:p w14:paraId="4C59D76C" w14:textId="77777777" w:rsidR="00507437" w:rsidRPr="003829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29A7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14:paraId="73F7615F" w14:textId="77777777" w:rsidR="00507437" w:rsidRPr="003829A7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3829A7">
        <w:rPr>
          <w:rFonts w:ascii="Times New Roman" w:hAnsi="Times New Roman" w:cs="Times New Roman"/>
          <w:sz w:val="32"/>
          <w:szCs w:val="32"/>
        </w:rPr>
        <w:t>2. Assumptions Used for Test Design</w:t>
      </w:r>
    </w:p>
    <w:p w14:paraId="745F69AD" w14:textId="77777777" w:rsidR="00507437" w:rsidRPr="003829A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29A7">
        <w:rPr>
          <w:rFonts w:ascii="Times New Roman" w:hAnsi="Times New Roman" w:cs="Times New Roman"/>
          <w:sz w:val="24"/>
          <w:szCs w:val="24"/>
        </w:rPr>
        <w:t>WholeCart is a B2B e-commerce workflow with buyer, seller and operator personas.</w:t>
      </w:r>
    </w:p>
    <w:p w14:paraId="0B660EE8" w14:textId="77777777" w:rsidR="00507437" w:rsidRPr="003829A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29A7">
        <w:rPr>
          <w:rFonts w:ascii="Times New Roman" w:hAnsi="Times New Roman" w:cs="Times New Roman"/>
          <w:sz w:val="24"/>
          <w:szCs w:val="24"/>
        </w:rPr>
        <w:t>Catalogue is the product master/search surface; Cart is the purchasing workspace; Orders are transactional history; Invoices and Statements are financial documents/reconciliation surfaces.</w:t>
      </w:r>
    </w:p>
    <w:p w14:paraId="655693E6" w14:textId="77777777" w:rsidR="00507437" w:rsidRPr="003829A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29A7">
        <w:rPr>
          <w:rFonts w:ascii="Times New Roman" w:hAnsi="Times New Roman" w:cs="Times New Roman"/>
          <w:sz w:val="24"/>
          <w:szCs w:val="24"/>
        </w:rPr>
        <w:t>Seller and operator roles have elevated capabilities compared with buyers, but exact authorization rules are not yet documented.</w:t>
      </w:r>
    </w:p>
    <w:p w14:paraId="4574D28B" w14:textId="77777777" w:rsidR="00507437" w:rsidRPr="003829A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29A7">
        <w:rPr>
          <w:rFonts w:ascii="Times New Roman" w:hAnsi="Times New Roman" w:cs="Times New Roman"/>
          <w:sz w:val="24"/>
          <w:szCs w:val="24"/>
        </w:rPr>
        <w:t>Product pricing includes piece and case representations and tax percentages; the screenshot visibly states that prices exclude tax.</w:t>
      </w:r>
    </w:p>
    <w:p w14:paraId="2DBDFF3B" w14:textId="77777777" w:rsidR="00507437" w:rsidRPr="003829A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29A7">
        <w:rPr>
          <w:rFonts w:ascii="Times New Roman" w:hAnsi="Times New Roman" w:cs="Times New Roman"/>
          <w:sz w:val="24"/>
          <w:szCs w:val="24"/>
        </w:rPr>
        <w:t>Authentication is username/password based using the credentials supplied for test execution.</w:t>
      </w:r>
    </w:p>
    <w:p w14:paraId="6CF54103" w14:textId="77777777" w:rsidR="00507437" w:rsidRPr="003829A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29A7">
        <w:rPr>
          <w:rFonts w:ascii="Times New Roman" w:hAnsi="Times New Roman" w:cs="Times New Roman"/>
          <w:sz w:val="24"/>
          <w:szCs w:val="24"/>
        </w:rPr>
        <w:t>The supplied data set contains at least 542 catalogue products at the time of the screenshot.</w:t>
      </w:r>
    </w:p>
    <w:p w14:paraId="17CC1457" w14:textId="77777777" w:rsidR="00507437" w:rsidRPr="003829A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29A7">
        <w:rPr>
          <w:rFonts w:ascii="Times New Roman" w:hAnsi="Times New Roman" w:cs="Times New Roman"/>
          <w:sz w:val="24"/>
          <w:szCs w:val="24"/>
        </w:rPr>
        <w:t>API and UI automation should be environment-configurable rather than hard-coded to a specific server state.</w:t>
      </w:r>
    </w:p>
    <w:p w14:paraId="0B351803" w14:textId="77777777" w:rsidR="00507437" w:rsidRPr="003829A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29A7">
        <w:rPr>
          <w:rFonts w:ascii="Times New Roman" w:hAnsi="Times New Roman" w:cs="Times New Roman"/>
          <w:sz w:val="24"/>
          <w:szCs w:val="24"/>
        </w:rPr>
        <w:t>No real customer payment gateway is assumed unless confirmed; checkout/payment scenarios are therefore designed as configurable coverage.</w:t>
      </w:r>
    </w:p>
    <w:p w14:paraId="0EE6ECBB" w14:textId="77777777" w:rsidR="00507437" w:rsidRPr="003829A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29A7">
        <w:rPr>
          <w:rFonts w:ascii="Times New Roman" w:hAnsi="Times New Roman" w:cs="Times New Roman"/>
          <w:sz w:val="24"/>
          <w:szCs w:val="24"/>
        </w:rPr>
        <w:t>All financial calculations require deterministic rounding and must be reconciled across Catalogue, Cart, Order, Invoice and Statement.</w:t>
      </w:r>
    </w:p>
    <w:p w14:paraId="4C1479E8" w14:textId="77777777" w:rsidR="00507437" w:rsidRPr="003829A7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3829A7">
        <w:rPr>
          <w:rFonts w:ascii="Times New Roman" w:hAnsi="Times New Roman" w:cs="Times New Roman"/>
          <w:sz w:val="32"/>
          <w:szCs w:val="32"/>
        </w:rPr>
        <w:t>3. Evidence &amp; Limitations</w:t>
      </w:r>
    </w:p>
    <w:p w14:paraId="4895870E" w14:textId="41B0DD26" w:rsidR="00507437" w:rsidRPr="003829A7" w:rsidRDefault="00000000">
      <w:pPr>
        <w:rPr>
          <w:rFonts w:ascii="Times New Roman" w:hAnsi="Times New Roman" w:cs="Times New Roman"/>
          <w:sz w:val="24"/>
          <w:szCs w:val="24"/>
        </w:rPr>
      </w:pPr>
      <w:r w:rsidRPr="003829A7">
        <w:rPr>
          <w:rFonts w:ascii="Times New Roman" w:hAnsi="Times New Roman" w:cs="Times New Roman"/>
          <w:sz w:val="24"/>
          <w:szCs w:val="24"/>
        </w:rPr>
        <w:t xml:space="preserve">The supplied screenshot establishes the visible Catalogue structure: search by name/SKU, category filter, product/SKU/category, piece price, case price, tax percentage, product count, and navigation to Cart/Orders/Invoices/Statements. It does not establish hidden business rules or backend/API </w:t>
      </w:r>
      <w:r w:rsidR="00B51A2C" w:rsidRPr="003829A7">
        <w:rPr>
          <w:rFonts w:ascii="Times New Roman" w:hAnsi="Times New Roman" w:cs="Times New Roman"/>
          <w:sz w:val="24"/>
          <w:szCs w:val="24"/>
        </w:rPr>
        <w:t>behavior</w:t>
      </w:r>
      <w:r w:rsidRPr="003829A7">
        <w:rPr>
          <w:rFonts w:ascii="Times New Roman" w:hAnsi="Times New Roman" w:cs="Times New Roman"/>
          <w:sz w:val="24"/>
          <w:szCs w:val="24"/>
        </w:rPr>
        <w:t>.</w:t>
      </w:r>
    </w:p>
    <w:p w14:paraId="2B6B12C2" w14:textId="77777777" w:rsidR="00507437" w:rsidRPr="003829A7" w:rsidRDefault="00000000">
      <w:pPr>
        <w:jc w:val="center"/>
        <w:rPr>
          <w:rFonts w:ascii="Times New Roman" w:hAnsi="Times New Roman" w:cs="Times New Roman"/>
        </w:rPr>
      </w:pPr>
      <w:r w:rsidRPr="003829A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97E290" wp14:editId="40DB7199">
            <wp:extent cx="6309360" cy="30346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62b0b2-18ba-4f9e-b452-aa52419080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3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5AD1" w14:textId="77777777" w:rsidR="00507437" w:rsidRPr="003829A7" w:rsidRDefault="00000000">
      <w:pPr>
        <w:rPr>
          <w:rFonts w:ascii="Times New Roman" w:hAnsi="Times New Roman" w:cs="Times New Roman"/>
          <w:sz w:val="20"/>
          <w:szCs w:val="20"/>
        </w:rPr>
      </w:pPr>
      <w:r w:rsidRPr="003829A7">
        <w:rPr>
          <w:rFonts w:ascii="Times New Roman" w:hAnsi="Times New Roman" w:cs="Times New Roman"/>
          <w:sz w:val="20"/>
          <w:szCs w:val="20"/>
        </w:rPr>
        <w:t>Evidence E-01 — supplied Catalogue screenshot.</w:t>
      </w:r>
    </w:p>
    <w:sectPr w:rsidR="00507437" w:rsidRPr="003829A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311253">
    <w:abstractNumId w:val="8"/>
  </w:num>
  <w:num w:numId="2" w16cid:durableId="349916088">
    <w:abstractNumId w:val="6"/>
  </w:num>
  <w:num w:numId="3" w16cid:durableId="1542980578">
    <w:abstractNumId w:val="5"/>
  </w:num>
  <w:num w:numId="4" w16cid:durableId="680007068">
    <w:abstractNumId w:val="4"/>
  </w:num>
  <w:num w:numId="5" w16cid:durableId="287779189">
    <w:abstractNumId w:val="7"/>
  </w:num>
  <w:num w:numId="6" w16cid:durableId="1919245816">
    <w:abstractNumId w:val="3"/>
  </w:num>
  <w:num w:numId="7" w16cid:durableId="1294402967">
    <w:abstractNumId w:val="2"/>
  </w:num>
  <w:num w:numId="8" w16cid:durableId="1662461111">
    <w:abstractNumId w:val="1"/>
  </w:num>
  <w:num w:numId="9" w16cid:durableId="1096362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CA2"/>
    <w:rsid w:val="00326F90"/>
    <w:rsid w:val="003829A7"/>
    <w:rsid w:val="00507437"/>
    <w:rsid w:val="00AA1D8D"/>
    <w:rsid w:val="00B47730"/>
    <w:rsid w:val="00B51A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0158F"/>
  <w14:defaultImageDpi w14:val="300"/>
  <w15:docId w15:val="{3E51FBEC-2399-4F93-89E3-ED616201A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Bhupesh Giri</cp:lastModifiedBy>
  <cp:revision>2</cp:revision>
  <dcterms:created xsi:type="dcterms:W3CDTF">2013-12-23T23:15:00Z</dcterms:created>
  <dcterms:modified xsi:type="dcterms:W3CDTF">2026-10-06T02:36:00Z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59fb0c4bb9d3ea0f146e194a60632f6f2dc3fe6d0954ef75d0f156ff96e3034f</vt:lpwstr>
  </property>
</Properties>
</file>