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60E6" w14:textId="77777777" w:rsidR="00DD07B5" w:rsidRPr="00160994" w:rsidRDefault="00000000">
      <w:pPr>
        <w:jc w:val="right"/>
        <w:rPr>
          <w:rFonts w:ascii="Times New Roman" w:hAnsi="Times New Roman" w:cs="Times New Roman"/>
        </w:rPr>
      </w:pPr>
      <w:r w:rsidRPr="00160994">
        <w:rPr>
          <w:rFonts w:ascii="Times New Roman" w:hAnsi="Times New Roman" w:cs="Times New Roman"/>
          <w:b/>
          <w:sz w:val="16"/>
        </w:rPr>
        <w:t>WholeCart — QA Release Pack</w:t>
      </w:r>
    </w:p>
    <w:p w14:paraId="3151239C" w14:textId="6DECD72A" w:rsidR="00DD07B5" w:rsidRPr="00160994" w:rsidRDefault="00160994">
      <w:pPr>
        <w:pStyle w:val="Title"/>
        <w:rPr>
          <w:rFonts w:ascii="Times New Roman" w:hAnsi="Times New Roman" w:cs="Times New Roman"/>
        </w:rPr>
      </w:pPr>
      <w:proofErr w:type="spellStart"/>
      <w:r w:rsidRPr="00160994">
        <w:rPr>
          <w:rFonts w:ascii="Times New Roman" w:hAnsi="Times New Roman" w:cs="Times New Roman"/>
        </w:rPr>
        <w:t>WholeCart</w:t>
      </w:r>
      <w:proofErr w:type="spellEnd"/>
      <w:r w:rsidRPr="00160994">
        <w:rPr>
          <w:rFonts w:ascii="Times New Roman" w:hAnsi="Times New Roman" w:cs="Times New Roman"/>
        </w:rPr>
        <w:t>-</w:t>
      </w:r>
      <w:r w:rsidR="00000000" w:rsidRPr="00160994">
        <w:rPr>
          <w:rFonts w:ascii="Times New Roman" w:hAnsi="Times New Roman" w:cs="Times New Roman"/>
        </w:rPr>
        <w:t>Test Plan</w:t>
      </w:r>
    </w:p>
    <w:p w14:paraId="10CFD92A" w14:textId="3207517B" w:rsidR="00DD07B5" w:rsidRPr="00160994" w:rsidRDefault="00000000">
      <w:pPr>
        <w:rPr>
          <w:rFonts w:ascii="Times New Roman" w:hAnsi="Times New Roman" w:cs="Times New Roman"/>
        </w:rPr>
      </w:pPr>
      <w:r w:rsidRPr="00160994">
        <w:rPr>
          <w:rFonts w:ascii="Times New Roman" w:hAnsi="Times New Roman" w:cs="Times New Roman"/>
          <w:sz w:val="32"/>
          <w:szCs w:val="32"/>
        </w:rPr>
        <w:t>Application: WholeCart</w:t>
      </w:r>
      <w:r w:rsidRPr="00160994">
        <w:rPr>
          <w:rFonts w:ascii="Times New Roman" w:hAnsi="Times New Roman" w:cs="Times New Roman"/>
        </w:rPr>
        <w:t xml:space="preserve"> </w:t>
      </w:r>
      <w:r w:rsidRPr="00160994">
        <w:rPr>
          <w:rFonts w:ascii="Times New Roman" w:hAnsi="Times New Roman" w:cs="Times New Roman"/>
        </w:rPr>
        <w:br/>
      </w:r>
      <w:r w:rsidRPr="00160994">
        <w:rPr>
          <w:rFonts w:ascii="Times New Roman" w:hAnsi="Times New Roman" w:cs="Times New Roman"/>
          <w:sz w:val="24"/>
          <w:szCs w:val="24"/>
        </w:rPr>
        <w:t xml:space="preserve">Assessment basis: supplied application URL, supplied role credentials, and the provided Catalogue screenshot. </w:t>
      </w:r>
      <w:r w:rsidRPr="00160994">
        <w:rPr>
          <w:rFonts w:ascii="Times New Roman" w:hAnsi="Times New Roman" w:cs="Times New Roman"/>
          <w:i/>
          <w:sz w:val="24"/>
          <w:szCs w:val="24"/>
        </w:rPr>
        <w:t xml:space="preserve">Execution </w:t>
      </w:r>
      <w:proofErr w:type="gramStart"/>
      <w:r w:rsidRPr="00160994">
        <w:rPr>
          <w:rFonts w:ascii="Times New Roman" w:hAnsi="Times New Roman" w:cs="Times New Roman"/>
          <w:i/>
          <w:sz w:val="24"/>
          <w:szCs w:val="24"/>
        </w:rPr>
        <w:t>note</w:t>
      </w:r>
      <w:proofErr w:type="gramEnd"/>
      <w:r w:rsidRPr="00160994">
        <w:rPr>
          <w:rFonts w:ascii="Times New Roman" w:hAnsi="Times New Roman" w:cs="Times New Roman"/>
          <w:i/>
          <w:sz w:val="24"/>
          <w:szCs w:val="24"/>
        </w:rPr>
        <w:t>: the application endpoint was not reachable from the QA execution environment during this preparation run, so live execution results are explicitly marked as pending/blocked rather than fabricated.</w:t>
      </w:r>
    </w:p>
    <w:p w14:paraId="10CACA4C" w14:textId="77777777" w:rsidR="00DD07B5" w:rsidRPr="00160994" w:rsidRDefault="00000000">
      <w:pPr>
        <w:pStyle w:val="Heading1"/>
        <w:rPr>
          <w:rFonts w:ascii="Times New Roman" w:hAnsi="Times New Roman" w:cs="Times New Roman"/>
          <w:sz w:val="32"/>
          <w:szCs w:val="32"/>
        </w:rPr>
      </w:pPr>
      <w:r w:rsidRPr="00160994">
        <w:rPr>
          <w:rFonts w:ascii="Times New Roman" w:hAnsi="Times New Roman" w:cs="Times New Roman"/>
          <w:sz w:val="32"/>
          <w:szCs w:val="32"/>
        </w:rPr>
        <w:t>Test Objective</w:t>
      </w:r>
    </w:p>
    <w:p w14:paraId="4EBF7543"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Provide release-level confidence that WholeCart's core B2B commerce journeys are functionally correct, secure by role, financially accurate, usable, and stable under expected load.</w:t>
      </w:r>
    </w:p>
    <w:tbl>
      <w:tblPr>
        <w:tblStyle w:val="TableGrid"/>
        <w:tblW w:w="0" w:type="auto"/>
        <w:jc w:val="center"/>
        <w:tblLook w:val="04A0" w:firstRow="1" w:lastRow="0" w:firstColumn="1" w:lastColumn="0" w:noHBand="0" w:noVBand="1"/>
      </w:tblPr>
      <w:tblGrid>
        <w:gridCol w:w="2592"/>
        <w:gridCol w:w="2592"/>
        <w:gridCol w:w="2592"/>
        <w:gridCol w:w="2592"/>
      </w:tblGrid>
      <w:tr w:rsidR="00DD07B5" w:rsidRPr="00160994" w14:paraId="581FE224" w14:textId="77777777">
        <w:trPr>
          <w:jc w:val="center"/>
        </w:trPr>
        <w:tc>
          <w:tcPr>
            <w:tcW w:w="2592" w:type="dxa"/>
            <w:shd w:val="clear" w:color="auto" w:fill="0F766E"/>
          </w:tcPr>
          <w:p w14:paraId="22027943"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b/>
                <w:color w:val="FFFFFF"/>
                <w:sz w:val="24"/>
                <w:szCs w:val="24"/>
              </w:rPr>
              <w:t>Area</w:t>
            </w:r>
          </w:p>
        </w:tc>
        <w:tc>
          <w:tcPr>
            <w:tcW w:w="2592" w:type="dxa"/>
            <w:shd w:val="clear" w:color="auto" w:fill="0F766E"/>
          </w:tcPr>
          <w:p w14:paraId="53F2C4B9"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b/>
                <w:color w:val="FFFFFF"/>
                <w:sz w:val="24"/>
                <w:szCs w:val="24"/>
              </w:rPr>
              <w:t>Scope</w:t>
            </w:r>
          </w:p>
        </w:tc>
        <w:tc>
          <w:tcPr>
            <w:tcW w:w="2592" w:type="dxa"/>
            <w:shd w:val="clear" w:color="auto" w:fill="0F766E"/>
          </w:tcPr>
          <w:p w14:paraId="2371CEB1"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b/>
                <w:color w:val="FFFFFF"/>
                <w:sz w:val="24"/>
                <w:szCs w:val="24"/>
              </w:rPr>
              <w:t>Priority</w:t>
            </w:r>
          </w:p>
        </w:tc>
        <w:tc>
          <w:tcPr>
            <w:tcW w:w="2592" w:type="dxa"/>
            <w:shd w:val="clear" w:color="auto" w:fill="0F766E"/>
          </w:tcPr>
          <w:p w14:paraId="60131BD7"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b/>
                <w:color w:val="FFFFFF"/>
                <w:sz w:val="24"/>
                <w:szCs w:val="24"/>
              </w:rPr>
              <w:t>Exit Evidence</w:t>
            </w:r>
          </w:p>
        </w:tc>
      </w:tr>
      <w:tr w:rsidR="00DD07B5" w:rsidRPr="00160994" w14:paraId="38F1328D" w14:textId="77777777">
        <w:trPr>
          <w:jc w:val="center"/>
        </w:trPr>
        <w:tc>
          <w:tcPr>
            <w:tcW w:w="2592" w:type="dxa"/>
          </w:tcPr>
          <w:p w14:paraId="5A337384"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Authentication &amp; Authorization</w:t>
            </w:r>
          </w:p>
        </w:tc>
        <w:tc>
          <w:tcPr>
            <w:tcW w:w="2592" w:type="dxa"/>
          </w:tcPr>
          <w:p w14:paraId="02E37323"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Login/logout, session handling, role isolation, direct URL/API authorization</w:t>
            </w:r>
          </w:p>
        </w:tc>
        <w:tc>
          <w:tcPr>
            <w:tcW w:w="2592" w:type="dxa"/>
          </w:tcPr>
          <w:p w14:paraId="6AC4B392"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P0</w:t>
            </w:r>
          </w:p>
        </w:tc>
        <w:tc>
          <w:tcPr>
            <w:tcW w:w="2592" w:type="dxa"/>
          </w:tcPr>
          <w:p w14:paraId="1729C82D"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All critical authz tests pass</w:t>
            </w:r>
          </w:p>
        </w:tc>
      </w:tr>
      <w:tr w:rsidR="00DD07B5" w:rsidRPr="00160994" w14:paraId="17C41079" w14:textId="77777777">
        <w:trPr>
          <w:jc w:val="center"/>
        </w:trPr>
        <w:tc>
          <w:tcPr>
            <w:tcW w:w="2592" w:type="dxa"/>
          </w:tcPr>
          <w:p w14:paraId="182D1AA6"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Catalogue</w:t>
            </w:r>
          </w:p>
        </w:tc>
        <w:tc>
          <w:tcPr>
            <w:tcW w:w="2592" w:type="dxa"/>
          </w:tcPr>
          <w:p w14:paraId="15641A77"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Search, SKU lookup, category filter, product details, price/case/tax consistency</w:t>
            </w:r>
          </w:p>
        </w:tc>
        <w:tc>
          <w:tcPr>
            <w:tcW w:w="2592" w:type="dxa"/>
          </w:tcPr>
          <w:p w14:paraId="3C57F7A2"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P0</w:t>
            </w:r>
          </w:p>
        </w:tc>
        <w:tc>
          <w:tcPr>
            <w:tcW w:w="2592" w:type="dxa"/>
          </w:tcPr>
          <w:p w14:paraId="15C3E8BB"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Core catalogue flows pass</w:t>
            </w:r>
          </w:p>
        </w:tc>
      </w:tr>
      <w:tr w:rsidR="00DD07B5" w:rsidRPr="00160994" w14:paraId="4582E768" w14:textId="77777777">
        <w:trPr>
          <w:jc w:val="center"/>
        </w:trPr>
        <w:tc>
          <w:tcPr>
            <w:tcW w:w="2592" w:type="dxa"/>
          </w:tcPr>
          <w:p w14:paraId="57B8B0D2"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Cart &amp; Ordering</w:t>
            </w:r>
          </w:p>
        </w:tc>
        <w:tc>
          <w:tcPr>
            <w:tcW w:w="2592" w:type="dxa"/>
          </w:tcPr>
          <w:p w14:paraId="63645156"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Add/update/remove, quantities, totals, tax, inventory, duplicate actions, order creation</w:t>
            </w:r>
          </w:p>
        </w:tc>
        <w:tc>
          <w:tcPr>
            <w:tcW w:w="2592" w:type="dxa"/>
          </w:tcPr>
          <w:p w14:paraId="1A914369"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P0</w:t>
            </w:r>
          </w:p>
        </w:tc>
        <w:tc>
          <w:tcPr>
            <w:tcW w:w="2592" w:type="dxa"/>
          </w:tcPr>
          <w:p w14:paraId="51D3CD96"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End-to-end buyer order passes</w:t>
            </w:r>
          </w:p>
        </w:tc>
      </w:tr>
      <w:tr w:rsidR="00DD07B5" w:rsidRPr="00160994" w14:paraId="56076C23" w14:textId="77777777">
        <w:trPr>
          <w:jc w:val="center"/>
        </w:trPr>
        <w:tc>
          <w:tcPr>
            <w:tcW w:w="2592" w:type="dxa"/>
          </w:tcPr>
          <w:p w14:paraId="49F45A8C"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Orders</w:t>
            </w:r>
          </w:p>
        </w:tc>
        <w:tc>
          <w:tcPr>
            <w:tcW w:w="2592" w:type="dxa"/>
          </w:tcPr>
          <w:p w14:paraId="3E427790"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List/detail, state transitions, permissions, data integrity</w:t>
            </w:r>
          </w:p>
        </w:tc>
        <w:tc>
          <w:tcPr>
            <w:tcW w:w="2592" w:type="dxa"/>
          </w:tcPr>
          <w:p w14:paraId="16F1ACD3"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P0</w:t>
            </w:r>
          </w:p>
        </w:tc>
        <w:tc>
          <w:tcPr>
            <w:tcW w:w="2592" w:type="dxa"/>
          </w:tcPr>
          <w:p w14:paraId="507FE881"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Lifecycle tests pass</w:t>
            </w:r>
          </w:p>
        </w:tc>
      </w:tr>
      <w:tr w:rsidR="00DD07B5" w:rsidRPr="00160994" w14:paraId="7F762FD5" w14:textId="77777777">
        <w:trPr>
          <w:jc w:val="center"/>
        </w:trPr>
        <w:tc>
          <w:tcPr>
            <w:tcW w:w="2592" w:type="dxa"/>
          </w:tcPr>
          <w:p w14:paraId="75CC5B4B"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Invoices &amp; Statements</w:t>
            </w:r>
          </w:p>
        </w:tc>
        <w:tc>
          <w:tcPr>
            <w:tcW w:w="2592" w:type="dxa"/>
          </w:tcPr>
          <w:p w14:paraId="3BD7519E"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Document generation, totals, tax, balances, reconciliation, access control</w:t>
            </w:r>
          </w:p>
        </w:tc>
        <w:tc>
          <w:tcPr>
            <w:tcW w:w="2592" w:type="dxa"/>
          </w:tcPr>
          <w:p w14:paraId="4E630086"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P0</w:t>
            </w:r>
          </w:p>
        </w:tc>
        <w:tc>
          <w:tcPr>
            <w:tcW w:w="2592" w:type="dxa"/>
          </w:tcPr>
          <w:p w14:paraId="4718049F"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Financial reconciliation passes</w:t>
            </w:r>
          </w:p>
        </w:tc>
      </w:tr>
      <w:tr w:rsidR="00DD07B5" w:rsidRPr="00160994" w14:paraId="393E3AD7" w14:textId="77777777">
        <w:trPr>
          <w:jc w:val="center"/>
        </w:trPr>
        <w:tc>
          <w:tcPr>
            <w:tcW w:w="2592" w:type="dxa"/>
          </w:tcPr>
          <w:p w14:paraId="74160A0B"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Seller/Operator</w:t>
            </w:r>
          </w:p>
        </w:tc>
        <w:tc>
          <w:tcPr>
            <w:tcW w:w="2592" w:type="dxa"/>
          </w:tcPr>
          <w:p w14:paraId="0C8C3804"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Role-specific workflows and unauthorized action prevention</w:t>
            </w:r>
          </w:p>
        </w:tc>
        <w:tc>
          <w:tcPr>
            <w:tcW w:w="2592" w:type="dxa"/>
          </w:tcPr>
          <w:p w14:paraId="7A4DBA35"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P1</w:t>
            </w:r>
          </w:p>
        </w:tc>
        <w:tc>
          <w:tcPr>
            <w:tcW w:w="2592" w:type="dxa"/>
          </w:tcPr>
          <w:p w14:paraId="12ED6B68"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Role matrix passes</w:t>
            </w:r>
          </w:p>
        </w:tc>
      </w:tr>
      <w:tr w:rsidR="00DD07B5" w:rsidRPr="00160994" w14:paraId="436482FB" w14:textId="77777777">
        <w:trPr>
          <w:jc w:val="center"/>
        </w:trPr>
        <w:tc>
          <w:tcPr>
            <w:tcW w:w="2592" w:type="dxa"/>
          </w:tcPr>
          <w:p w14:paraId="23641D94"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API</w:t>
            </w:r>
          </w:p>
        </w:tc>
        <w:tc>
          <w:tcPr>
            <w:tcW w:w="2592" w:type="dxa"/>
          </w:tcPr>
          <w:p w14:paraId="52CF7794"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Auth, catalogue, cart/order, financial endpoints, negative cases, schema/errors</w:t>
            </w:r>
          </w:p>
        </w:tc>
        <w:tc>
          <w:tcPr>
            <w:tcW w:w="2592" w:type="dxa"/>
          </w:tcPr>
          <w:p w14:paraId="7C2B472C"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P0</w:t>
            </w:r>
          </w:p>
        </w:tc>
        <w:tc>
          <w:tcPr>
            <w:tcW w:w="2592" w:type="dxa"/>
          </w:tcPr>
          <w:p w14:paraId="23565E18"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Contract/smoke suite passes</w:t>
            </w:r>
          </w:p>
        </w:tc>
      </w:tr>
      <w:tr w:rsidR="00DD07B5" w:rsidRPr="00160994" w14:paraId="321F68C9" w14:textId="77777777">
        <w:trPr>
          <w:jc w:val="center"/>
        </w:trPr>
        <w:tc>
          <w:tcPr>
            <w:tcW w:w="2592" w:type="dxa"/>
          </w:tcPr>
          <w:p w14:paraId="02019CDF"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Non-functional</w:t>
            </w:r>
          </w:p>
        </w:tc>
        <w:tc>
          <w:tcPr>
            <w:tcW w:w="2592" w:type="dxa"/>
          </w:tcPr>
          <w:p w14:paraId="12EBC7A5"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Performance, load, accessibility, responsive behavior, security basics</w:t>
            </w:r>
          </w:p>
        </w:tc>
        <w:tc>
          <w:tcPr>
            <w:tcW w:w="2592" w:type="dxa"/>
          </w:tcPr>
          <w:p w14:paraId="7A56B3FF"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P1</w:t>
            </w:r>
          </w:p>
        </w:tc>
        <w:tc>
          <w:tcPr>
            <w:tcW w:w="2592" w:type="dxa"/>
          </w:tcPr>
          <w:p w14:paraId="6B44312D"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No release-blocking findings</w:t>
            </w:r>
          </w:p>
        </w:tc>
      </w:tr>
    </w:tbl>
    <w:p w14:paraId="7A03ADF9" w14:textId="77777777" w:rsidR="00DD07B5" w:rsidRPr="00160994" w:rsidRDefault="00000000">
      <w:pPr>
        <w:pStyle w:val="Heading1"/>
        <w:rPr>
          <w:rFonts w:ascii="Times New Roman" w:hAnsi="Times New Roman" w:cs="Times New Roman"/>
          <w:sz w:val="32"/>
          <w:szCs w:val="32"/>
        </w:rPr>
      </w:pPr>
      <w:r w:rsidRPr="00160994">
        <w:rPr>
          <w:rFonts w:ascii="Times New Roman" w:hAnsi="Times New Roman" w:cs="Times New Roman"/>
          <w:sz w:val="32"/>
          <w:szCs w:val="32"/>
        </w:rPr>
        <w:lastRenderedPageBreak/>
        <w:t>Test Approach</w:t>
      </w:r>
    </w:p>
    <w:p w14:paraId="7A362A2E"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Risk-based functional testing + equivalence/negative/boundary testing + role/authorization matrix + API/UI automation + baseline load test. Test data should include valid, empty, maximum, malformed, duplicate and concurrent transaction cases.</w:t>
      </w:r>
    </w:p>
    <w:p w14:paraId="0AFD2951" w14:textId="77777777" w:rsidR="00DD07B5" w:rsidRPr="00160994" w:rsidRDefault="00000000">
      <w:pPr>
        <w:pStyle w:val="Heading1"/>
        <w:rPr>
          <w:rFonts w:ascii="Times New Roman" w:hAnsi="Times New Roman" w:cs="Times New Roman"/>
          <w:sz w:val="32"/>
          <w:szCs w:val="32"/>
        </w:rPr>
      </w:pPr>
      <w:r w:rsidRPr="00160994">
        <w:rPr>
          <w:rFonts w:ascii="Times New Roman" w:hAnsi="Times New Roman" w:cs="Times New Roman"/>
          <w:sz w:val="32"/>
          <w:szCs w:val="32"/>
        </w:rPr>
        <w:t>Environment &amp; Data</w:t>
      </w:r>
    </w:p>
    <w:p w14:paraId="2D26AC9E"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Environment: supplied WholeCart URL. Personas: buyer1–buyer3, seller1–seller3, operator. Password: supplied test password. Use non-production test data only. Capture request/response, console, screenshot and timestamps for failures.</w:t>
      </w:r>
    </w:p>
    <w:p w14:paraId="3FB8F8F9" w14:textId="77777777" w:rsidR="00DD07B5" w:rsidRPr="00160994" w:rsidRDefault="00000000">
      <w:pPr>
        <w:pStyle w:val="Heading1"/>
        <w:rPr>
          <w:rFonts w:ascii="Times New Roman" w:hAnsi="Times New Roman" w:cs="Times New Roman"/>
          <w:sz w:val="32"/>
          <w:szCs w:val="32"/>
        </w:rPr>
      </w:pPr>
      <w:r w:rsidRPr="00160994">
        <w:rPr>
          <w:rFonts w:ascii="Times New Roman" w:hAnsi="Times New Roman" w:cs="Times New Roman"/>
          <w:sz w:val="32"/>
          <w:szCs w:val="32"/>
        </w:rPr>
        <w:t>Entry Criteria</w:t>
      </w:r>
    </w:p>
    <w:p w14:paraId="36343E8D" w14:textId="77777777" w:rsidR="00DD07B5" w:rsidRPr="00160994" w:rsidRDefault="00000000">
      <w:pPr>
        <w:pStyle w:val="ListBullet"/>
        <w:rPr>
          <w:rFonts w:ascii="Times New Roman" w:hAnsi="Times New Roman" w:cs="Times New Roman"/>
          <w:sz w:val="24"/>
          <w:szCs w:val="24"/>
        </w:rPr>
      </w:pPr>
      <w:r w:rsidRPr="00160994">
        <w:rPr>
          <w:rFonts w:ascii="Times New Roman" w:hAnsi="Times New Roman" w:cs="Times New Roman"/>
          <w:sz w:val="24"/>
          <w:szCs w:val="24"/>
        </w:rPr>
        <w:t>Environment reachable and stable</w:t>
      </w:r>
    </w:p>
    <w:p w14:paraId="0D5075C0" w14:textId="77777777" w:rsidR="00DD07B5" w:rsidRPr="00160994" w:rsidRDefault="00000000">
      <w:pPr>
        <w:pStyle w:val="ListBullet"/>
        <w:rPr>
          <w:rFonts w:ascii="Times New Roman" w:hAnsi="Times New Roman" w:cs="Times New Roman"/>
          <w:sz w:val="24"/>
          <w:szCs w:val="24"/>
        </w:rPr>
      </w:pPr>
      <w:r w:rsidRPr="00160994">
        <w:rPr>
          <w:rFonts w:ascii="Times New Roman" w:hAnsi="Times New Roman" w:cs="Times New Roman"/>
          <w:sz w:val="24"/>
          <w:szCs w:val="24"/>
        </w:rPr>
        <w:t>All test accounts active</w:t>
      </w:r>
    </w:p>
    <w:p w14:paraId="62C20803" w14:textId="77777777" w:rsidR="00DD07B5" w:rsidRPr="00160994" w:rsidRDefault="00000000">
      <w:pPr>
        <w:pStyle w:val="ListBullet"/>
        <w:rPr>
          <w:rFonts w:ascii="Times New Roman" w:hAnsi="Times New Roman" w:cs="Times New Roman"/>
          <w:sz w:val="24"/>
          <w:szCs w:val="24"/>
        </w:rPr>
      </w:pPr>
      <w:r w:rsidRPr="00160994">
        <w:rPr>
          <w:rFonts w:ascii="Times New Roman" w:hAnsi="Times New Roman" w:cs="Times New Roman"/>
          <w:sz w:val="24"/>
          <w:szCs w:val="24"/>
        </w:rPr>
        <w:t>API specification or discoverable endpoints available</w:t>
      </w:r>
    </w:p>
    <w:p w14:paraId="48BA3CF2" w14:textId="77777777" w:rsidR="00DD07B5" w:rsidRPr="00160994" w:rsidRDefault="00000000">
      <w:pPr>
        <w:pStyle w:val="ListBullet"/>
        <w:rPr>
          <w:rFonts w:ascii="Times New Roman" w:hAnsi="Times New Roman" w:cs="Times New Roman"/>
          <w:sz w:val="24"/>
          <w:szCs w:val="24"/>
        </w:rPr>
      </w:pPr>
      <w:r w:rsidRPr="00160994">
        <w:rPr>
          <w:rFonts w:ascii="Times New Roman" w:hAnsi="Times New Roman" w:cs="Times New Roman"/>
          <w:sz w:val="24"/>
          <w:szCs w:val="24"/>
        </w:rPr>
        <w:t>Seed catalogue/order/invoice data available</w:t>
      </w:r>
    </w:p>
    <w:p w14:paraId="2BC0F24C" w14:textId="77777777" w:rsidR="00DD07B5" w:rsidRPr="00160994" w:rsidRDefault="00000000">
      <w:pPr>
        <w:pStyle w:val="ListBullet"/>
        <w:rPr>
          <w:rFonts w:ascii="Times New Roman" w:hAnsi="Times New Roman" w:cs="Times New Roman"/>
          <w:sz w:val="24"/>
          <w:szCs w:val="24"/>
        </w:rPr>
      </w:pPr>
      <w:r w:rsidRPr="00160994">
        <w:rPr>
          <w:rFonts w:ascii="Times New Roman" w:hAnsi="Times New Roman" w:cs="Times New Roman"/>
          <w:sz w:val="24"/>
          <w:szCs w:val="24"/>
        </w:rPr>
        <w:t>Defect triage owner identified</w:t>
      </w:r>
    </w:p>
    <w:p w14:paraId="241C140B" w14:textId="77777777" w:rsidR="00DD07B5" w:rsidRPr="00160994" w:rsidRDefault="00000000">
      <w:pPr>
        <w:pStyle w:val="Heading1"/>
        <w:rPr>
          <w:rFonts w:ascii="Times New Roman" w:hAnsi="Times New Roman" w:cs="Times New Roman"/>
          <w:sz w:val="32"/>
          <w:szCs w:val="32"/>
        </w:rPr>
      </w:pPr>
      <w:r w:rsidRPr="00160994">
        <w:rPr>
          <w:rFonts w:ascii="Times New Roman" w:hAnsi="Times New Roman" w:cs="Times New Roman"/>
          <w:sz w:val="32"/>
          <w:szCs w:val="32"/>
        </w:rPr>
        <w:t>Exit / Release Criteria</w:t>
      </w:r>
    </w:p>
    <w:p w14:paraId="6439B9F1"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GO only when: 0 open Sev-1/Sev-2 defects; ≥95% P0/P1 pass; financial reconciliation is 100% accurate for tested scenarios; authorization tests pass; critical API/UI smoke is green; performance is within agreed SLO; and no unresolved release-blocking security issue exists.</w:t>
      </w:r>
    </w:p>
    <w:p w14:paraId="159F4B7D" w14:textId="77777777" w:rsidR="00DD07B5" w:rsidRPr="00160994" w:rsidRDefault="00000000">
      <w:pPr>
        <w:pStyle w:val="Heading1"/>
        <w:rPr>
          <w:rFonts w:ascii="Times New Roman" w:hAnsi="Times New Roman" w:cs="Times New Roman"/>
          <w:sz w:val="32"/>
          <w:szCs w:val="32"/>
        </w:rPr>
      </w:pPr>
      <w:r w:rsidRPr="00160994">
        <w:rPr>
          <w:rFonts w:ascii="Times New Roman" w:hAnsi="Times New Roman" w:cs="Times New Roman"/>
          <w:sz w:val="32"/>
          <w:szCs w:val="32"/>
        </w:rPr>
        <w:t>Current Recommendation</w:t>
      </w:r>
    </w:p>
    <w:p w14:paraId="1B1FB455" w14:textId="77777777" w:rsidR="00DD07B5" w:rsidRPr="00160994" w:rsidRDefault="00000000">
      <w:pPr>
        <w:rPr>
          <w:rFonts w:ascii="Times New Roman" w:hAnsi="Times New Roman" w:cs="Times New Roman"/>
          <w:b/>
          <w:bCs/>
          <w:sz w:val="20"/>
          <w:szCs w:val="20"/>
        </w:rPr>
      </w:pPr>
      <w:r w:rsidRPr="00160994">
        <w:rPr>
          <w:rFonts w:ascii="Times New Roman" w:hAnsi="Times New Roman" w:cs="Times New Roman"/>
          <w:b/>
          <w:bCs/>
          <w:sz w:val="20"/>
          <w:szCs w:val="20"/>
        </w:rPr>
        <w:t>CONDITIONAL NO-GO / EVIDENCE INCOMPLETE</w:t>
      </w:r>
    </w:p>
    <w:p w14:paraId="2A55E404" w14:textId="77777777" w:rsidR="00DD07B5" w:rsidRPr="00160994" w:rsidRDefault="00000000">
      <w:pPr>
        <w:rPr>
          <w:rFonts w:ascii="Times New Roman" w:hAnsi="Times New Roman" w:cs="Times New Roman"/>
          <w:sz w:val="24"/>
          <w:szCs w:val="24"/>
        </w:rPr>
      </w:pPr>
      <w:r w:rsidRPr="00160994">
        <w:rPr>
          <w:rFonts w:ascii="Times New Roman" w:hAnsi="Times New Roman" w:cs="Times New Roman"/>
          <w:sz w:val="24"/>
          <w:szCs w:val="24"/>
        </w:rPr>
        <w:t>The supplied application could not be reached from this QA execution environment during preparation, so live functional, API and load results cannot be honestly marked as passed. Execute the attached one-command automation and load suite from a network that can reach the supplied host, then update the results report.</w:t>
      </w:r>
    </w:p>
    <w:sectPr w:rsidR="00DD07B5" w:rsidRPr="00160994"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071930">
    <w:abstractNumId w:val="8"/>
  </w:num>
  <w:num w:numId="2" w16cid:durableId="1306859149">
    <w:abstractNumId w:val="6"/>
  </w:num>
  <w:num w:numId="3" w16cid:durableId="1523319281">
    <w:abstractNumId w:val="5"/>
  </w:num>
  <w:num w:numId="4" w16cid:durableId="1007949795">
    <w:abstractNumId w:val="4"/>
  </w:num>
  <w:num w:numId="5" w16cid:durableId="1510438517">
    <w:abstractNumId w:val="7"/>
  </w:num>
  <w:num w:numId="6" w16cid:durableId="1772700625">
    <w:abstractNumId w:val="3"/>
  </w:num>
  <w:num w:numId="7" w16cid:durableId="11225047">
    <w:abstractNumId w:val="2"/>
  </w:num>
  <w:num w:numId="8" w16cid:durableId="804857712">
    <w:abstractNumId w:val="1"/>
  </w:num>
  <w:num w:numId="9" w16cid:durableId="73802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994"/>
    <w:rsid w:val="0029639D"/>
    <w:rsid w:val="002A3E70"/>
    <w:rsid w:val="00326F90"/>
    <w:rsid w:val="00AA1D8D"/>
    <w:rsid w:val="00B47730"/>
    <w:rsid w:val="00CB0664"/>
    <w:rsid w:val="00DD07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6956A"/>
  <w14:defaultImageDpi w14:val="300"/>
  <w15:docId w15:val="{38255E3E-49A8-4A79-BC0D-DA7EC32B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Bhupesh Giri</cp:lastModifiedBy>
  <cp:revision>2</cp:revision>
  <dcterms:created xsi:type="dcterms:W3CDTF">2013-12-23T23:15:00Z</dcterms:created>
  <dcterms:modified xsi:type="dcterms:W3CDTF">2026-10-06T02:40:00Z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08bf0349a3ca76c59c0f972d91d199bfaed5d34d8f6a000ce291dd439ec332e1</vt:lpwstr>
  </property>
</Properties>
</file>