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171B22"/>
          <w:sz w:val="28"/>
        </w:rPr>
        <w:t>HIT140 Foundations of Data Science — Assessment 3</w:t>
      </w:r>
    </w:p>
    <w:p>
      <w:pPr>
        <w:spacing w:before="0" w:after="80" w:line="240" w:lineRule="auto"/>
        <w:jc w:val="center"/>
      </w:pPr>
      <w:r>
        <w:rPr>
          <w:rFonts w:ascii="Times New Roman" w:hAnsi="Times New Roman" w:eastAsia="Times New Roman"/>
          <w:b w:val="0"/>
          <w:i/>
          <w:color w:val="171B22"/>
          <w:sz w:val="22"/>
        </w:rPr>
        <w:t>Objective 2: Predicting FIFA World Cup 2026 match outcomes from information known before kick-off</w:t>
      </w:r>
    </w:p>
    <w:p>
      <w:pPr>
        <w:spacing w:before="0" w:after="40" w:line="240" w:lineRule="auto"/>
        <w:jc w:val="center"/>
      </w:pPr>
      <w:r>
        <w:rPr>
          <w:rFonts w:ascii="Times New Roman" w:hAnsi="Times New Roman" w:eastAsia="Times New Roman"/>
          <w:b w:val="0"/>
          <w:i w:val="0"/>
          <w:color w:val="171B22"/>
          <w:sz w:val="18"/>
        </w:rPr>
        <w:t>Group members: Bhupraj Tamang (Student ID: ________)  ·  _______________ (ID: ________)  ·  _______________ (ID: ________)  ·  _______________ (ID: ________)</w:t>
      </w:r>
    </w:p>
    <w:p>
      <w:pPr>
        <w:spacing w:before="0" w:after="160" w:line="240" w:lineRule="auto"/>
        <w:jc w:val="center"/>
      </w:pPr>
      <w:r>
        <w:rPr>
          <w:rFonts w:ascii="Times New Roman" w:hAnsi="Times New Roman" w:eastAsia="Times New Roman"/>
          <w:b w:val="0"/>
          <w:i/>
          <w:color w:val="171B22"/>
          <w:sz w:val="18"/>
        </w:rPr>
        <w:t>Python code and dataset: https://github.com/BhuprajTmg/data-project   ·   Run: python wc2026_analytics.py</w:t>
      </w:r>
    </w:p>
    <w:p>
      <w:pPr>
        <w:spacing w:before="160" w:after="60" w:line="240" w:lineRule="auto"/>
      </w:pPr>
      <w:r>
        <w:rPr>
          <w:rFonts w:ascii="Times New Roman" w:hAnsi="Times New Roman" w:eastAsia="Times New Roman"/>
          <w:b/>
          <w:i w:val="0"/>
          <w:color w:val="6E2129"/>
          <w:sz w:val="22"/>
        </w:rPr>
        <w:t>1. Introduction and research questions</w:t>
      </w:r>
    </w:p>
    <w:p>
      <w:pPr>
        <w:spacing w:before="0" w:after="100" w:line="240" w:lineRule="auto"/>
        <w:jc w:val="both"/>
      </w:pPr>
      <w:r>
        <w:rPr>
          <w:rFonts w:ascii="Times New Roman" w:hAnsi="Times New Roman" w:eastAsia="Times New Roman"/>
          <w:b w:val="0"/>
          <w:i w:val="0"/>
          <w:color w:val="171B22"/>
          <w:sz w:val="20"/>
        </w:rPr>
        <w:t>This report covers Objective 2 of the HIT140 group project. We use real match, team and player data from the 2026 FIFA World Cup (Canada, Mexico and USA; 11 June–19 July 2026; 48 teams; 104 official matches; won 1–0 after extra time by Spain against Argentina). The aim is to predict match outcomes using only information that a team would know before the referee starts the game. We do not use shots, possession, cards in that match, or any other in-match event. Including those would leak the result we are trying to predict.</w:t>
      </w:r>
    </w:p>
    <w:p>
      <w:pPr>
        <w:spacing w:before="0" w:after="100" w:line="240" w:lineRule="auto"/>
        <w:jc w:val="both"/>
      </w:pPr>
      <w:r>
        <w:rPr>
          <w:rFonts w:ascii="Times New Roman" w:hAnsi="Times New Roman" w:eastAsia="Times New Roman"/>
          <w:b w:val="0"/>
          <w:i w:val="0"/>
          <w:color w:val="171B22"/>
          <w:sz w:val="20"/>
        </w:rPr>
        <w:t>We fit two ordinary least squares (OLS) linear regression models, each with exactly eight explanatory variables. The brief allows at most four of those variables to be shared. We share knockout, FIFA rank, squad value and rest days. Model 2.1 then uses age gap, title gap, host gap and same-confederation. Model 2.2 then uses prior World Cup appearances (own and opponent), a UEFA dummy, and days into the tournament from the published schedule. Model 2.1 predicts goal difference (104 rows). Model 2.2 predicts goals scored by one team (208 rows). Both use an 80/20 split (seed 42) and α = 0.05. All wrangling and charts are in assignment3_final_code.py. Excel only stores the raw sheets.</w:t>
      </w:r>
    </w:p>
    <w:p>
      <w:pPr>
        <w:spacing w:before="160" w:after="60" w:line="240" w:lineRule="auto"/>
      </w:pPr>
      <w:r>
        <w:rPr>
          <w:rFonts w:ascii="Times New Roman" w:hAnsi="Times New Roman" w:eastAsia="Times New Roman"/>
          <w:b/>
          <w:i w:val="0"/>
          <w:color w:val="6E2129"/>
          <w:sz w:val="22"/>
        </w:rPr>
        <w:t>2. Data, cleaning and feature engineering</w:t>
      </w:r>
    </w:p>
    <w:p>
      <w:pPr>
        <w:spacing w:before="0" w:after="100" w:line="240" w:lineRule="auto"/>
        <w:jc w:val="both"/>
      </w:pPr>
      <w:r>
        <w:rPr>
          <w:rFonts w:ascii="Times New Roman" w:hAnsi="Times New Roman" w:eastAsia="Times New Roman"/>
          <w:b w:val="0"/>
          <w:i w:val="0"/>
          <w:color w:val="171B22"/>
          <w:sz w:val="20"/>
        </w:rPr>
        <w:t>Three tables sit in fifa data.xlsx and are loaded by assignment3_final_code.py. matches (104 rows) has date, stage, teams, scores and attendance, compiled from the FIFA match centre, Wikipedia group and knockout pages, and worldcup.org.uk. teams (48 rows) has FIFA ranking at the 11 June 2026 freeze, confederation, host flag, previous World Cup titles and appearances, Transfermarkt squad value (EUR million) and squad average age. players (1,016 rows) is not used as a predictor here, but was used to check data quality: 294 player goals plus 14 own goals equal the official 308-goal tournament total, and 15 red cards match the official count.</w:t>
      </w:r>
    </w:p>
    <w:p>
      <w:pPr>
        <w:spacing w:before="0" w:after="100" w:line="240" w:lineRule="auto"/>
        <w:jc w:val="both"/>
      </w:pPr>
      <w:r>
        <w:rPr>
          <w:rFonts w:ascii="Times New Roman" w:hAnsi="Times New Roman" w:eastAsia="Times New Roman"/>
          <w:b w:val="0"/>
          <w:i w:val="0"/>
          <w:color w:val="171B22"/>
          <w:sz w:val="20"/>
        </w:rPr>
        <w:t>Cleaning in Python: country names are mapped to one spelling (for example United States → USA, Turkey → Turkiye, Czech Republic → Czechia) so the three tables join with no unmatched teams. Dates are parsed. Numeric fields are coerced. Duplicate team rows are dropped. A knockout flag is 1 if the stage is Round of 32 through the Final (32 matches) and 0 for the group stage (72 matches). Rest days are the number of days since that team’s previous tournament match. A team’s first match has no previous date, so those 48 opening games are filled with the median rest observed in the rest of the tournament (5 days). That fill is known before kick-off and does not use the score.</w:t>
      </w:r>
    </w:p>
    <w:p>
      <w:pPr>
        <w:spacing w:before="0" w:after="100" w:line="240" w:lineRule="auto"/>
        <w:jc w:val="both"/>
      </w:pPr>
      <w:r>
        <w:rPr>
          <w:rFonts w:ascii="Times New Roman" w:hAnsi="Times New Roman" w:eastAsia="Times New Roman"/>
          <w:b w:val="0"/>
          <w:i w:val="0"/>
          <w:color w:val="171B22"/>
          <w:sz w:val="20"/>
        </w:rPr>
        <w:t>Model 2.1 uses match-level differences (team 1 minus team 2): rank, value, rest and knockout (the four shared ideas), plus age, previous titles, host (−1, 0 or 1) and same confederation. A smaller FIFA rank number is a stronger team, so a negative rank_diff means team 1 is ranked better. Model 2.2 uses the team’s own rank, value, rest and knockout (the same four shared ideas), plus prior World Cup appearances for the team and the opponent, whether the team is UEFA, and days since 11 June 2026. That last variable comes from the published calendar, so it is known before kick-off. Age, titles, host and same-confederation are not reused in 2.2.</w:t>
      </w:r>
    </w:p>
    <w:p>
      <w:pPr>
        <w:spacing w:before="160" w:after="60" w:line="240" w:lineRule="auto"/>
      </w:pPr>
      <w:r>
        <w:rPr>
          <w:rFonts w:ascii="Times New Roman" w:hAnsi="Times New Roman" w:eastAsia="Times New Roman"/>
          <w:b/>
          <w:i w:val="0"/>
          <w:color w:val="6E2129"/>
          <w:sz w:val="22"/>
        </w:rPr>
        <w:t>3. Model 2.1 — match goal difference (n = 104)</w:t>
      </w:r>
    </w:p>
    <w:p>
      <w:pPr>
        <w:spacing w:before="0" w:after="80" w:line="240" w:lineRule="auto"/>
        <w:jc w:val="both"/>
      </w:pPr>
      <w:r>
        <w:rPr>
          <w:rFonts w:ascii="Times New Roman" w:hAnsi="Times New Roman" w:eastAsia="Times New Roman"/>
          <w:b w:val="0"/>
          <w:i w:val="0"/>
          <w:color w:val="171B22"/>
          <w:sz w:val="20"/>
        </w:rPr>
        <w:t>Target: goal_diff = team1_goals − team2_goals. Training set 83 matches, test set 21 matches. Training R² = 0.493 (adjusted R² = 0.438). On the held-out matches, test R² = 0.306, RMSE = 1.57 goals and MAE = 1.18 goals. About half of the variation in goal difference is described in-sample; out of sample the fit is weaker, which is expected with only 21 test matches, but the model still predicts better than a mean-only baseline.</w:t>
      </w:r>
    </w:p>
    <w:tbl>
      <w:tblPr>
        <w:tblW w:type="auto" w:w="0"/>
        <w:jc w:val="center"/>
        <w:tblLayout w:type="fixed"/>
        <w:tblLook w:firstColumn="1" w:firstRow="1" w:lastColumn="0" w:lastRow="0" w:noHBand="0" w:noVBand="1" w:val="04A0"/>
      </w:tblPr>
      <w:tblGrid>
        <w:gridCol w:w="2523"/>
        <w:gridCol w:w="2523"/>
        <w:gridCol w:w="2523"/>
        <w:gridCol w:w="2523"/>
      </w:tblGrid>
      <w:tr>
        <w:tc>
          <w:tcPr>
            <w:tcW w:type="dxa" w:w="1928"/>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Variable</w:t>
            </w:r>
          </w:p>
        </w:tc>
        <w:tc>
          <w:tcPr>
            <w:tcW w:type="dxa" w:w="1134"/>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Coef.</w:t>
            </w:r>
          </w:p>
        </w:tc>
        <w:tc>
          <w:tcPr>
            <w:tcW w:type="dxa" w:w="1247"/>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p-value</w:t>
            </w:r>
          </w:p>
        </w:tc>
        <w:tc>
          <w:tcPr>
            <w:tcW w:type="dxa" w:w="5783"/>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Reading in plain English</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Intercept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+0.184</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0.383</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Not significant</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rank_diff *</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−0.0232</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0.002</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Better FIFA rank (smaller number) for team 1 → more net goals</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age_diff</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+0.113</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0.427</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Not significant</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value_diff *</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+0.0017</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0.004</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EUR 1 billion extra squad value ≈ +1.7 net goals</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titles_diff</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−0.132</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0.336</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Past World Cup titles add nothing once rank and value are in</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host_diff</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+0.366</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0.494</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No clear co-host edge</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rest_diff</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+0.172</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0.641</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Rest gap not significant</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same_confed</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+0.218</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0.684</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Same confederation not significant</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knockout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−0.726</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0.097</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Knockouts trend tighter (marginal, p &lt; 0.10)</w:t>
            </w:r>
          </w:p>
        </w:tc>
      </w:tr>
    </w:tbl>
    <w:p>
      <w:pPr>
        <w:spacing w:after="40"/>
      </w:pPr>
    </w:p>
    <w:p>
      <w:pPr>
        <w:spacing w:before="0" w:after="80" w:line="240" w:lineRule="auto"/>
        <w:jc w:val="both"/>
      </w:pPr>
      <w:r>
        <w:rPr>
          <w:rFonts w:ascii="Times New Roman" w:hAnsi="Times New Roman" w:eastAsia="Times New Roman"/>
          <w:b w:val="0"/>
          <w:i w:val="0"/>
          <w:color w:val="171B22"/>
          <w:sz w:val="20"/>
        </w:rPr>
        <w:t>Only rank_diff and value_diff are significant at 5%. The rank coefficient is negative because rank 1 is better than rank 20: if team 1 is stronger, rank_diff is negative, and a negative coefficient times a negative gap predicts a positive goal difference for team 1. Value works in the obvious direction: the richer squad is expected to outscore the poorer one. Age, titles, host, rest and confederation are not significant after rank and value are included. Knockout has a negative coefficient (tighter games) but p = 0.097, so we treat it as a hint, not a finding.</w:t>
      </w:r>
    </w:p>
    <w:p>
      <w:pPr>
        <w:spacing w:before="160" w:after="60" w:line="240" w:lineRule="auto"/>
      </w:pPr>
      <w:r>
        <w:rPr>
          <w:rFonts w:ascii="Times New Roman" w:hAnsi="Times New Roman" w:eastAsia="Times New Roman"/>
          <w:b/>
          <w:i w:val="0"/>
          <w:color w:val="6E2129"/>
          <w:sz w:val="22"/>
        </w:rPr>
        <w:t>4. Model 2.2 — goals scored by one team (n = 208)</w:t>
      </w:r>
    </w:p>
    <w:p>
      <w:pPr>
        <w:spacing w:before="0" w:after="80" w:line="240" w:lineRule="auto"/>
        <w:jc w:val="both"/>
      </w:pPr>
      <w:r>
        <w:rPr>
          <w:rFonts w:ascii="Times New Roman" w:hAnsi="Times New Roman" w:eastAsia="Times New Roman"/>
          <w:b w:val="0"/>
          <w:i w:val="0"/>
          <w:color w:val="171B22"/>
          <w:sz w:val="20"/>
        </w:rPr>
        <w:t>Target: goals scored by that team in that match. Two rows per match. Training set 166 rows, test set 42 rows. Training R² = 0.264 (adjusted R² = 0.227). Test R² = 0.074, RMSE = 1.34 goals, MAE = 1.01 goals. Test fit is weak. That is expected once we are not allowed to reuse opponent rank or opponent value from Model 2.1, and because an exact tally is noisier than a goal difference. We still report it honestly rather than recycling extra shared predictors to inflate R².</w:t>
      </w:r>
    </w:p>
    <w:tbl>
      <w:tblPr>
        <w:tblW w:type="auto" w:w="0"/>
        <w:jc w:val="center"/>
        <w:tblLayout w:type="fixed"/>
        <w:tblLook w:firstColumn="1" w:firstRow="1" w:lastColumn="0" w:lastRow="0" w:noHBand="0" w:noVBand="1" w:val="04A0"/>
      </w:tblPr>
      <w:tblGrid>
        <w:gridCol w:w="2523"/>
        <w:gridCol w:w="2523"/>
        <w:gridCol w:w="2523"/>
        <w:gridCol w:w="2523"/>
      </w:tblGrid>
      <w:tr>
        <w:tc>
          <w:tcPr>
            <w:tcW w:type="dxa" w:w="1928"/>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Variable</w:t>
            </w:r>
          </w:p>
        </w:tc>
        <w:tc>
          <w:tcPr>
            <w:tcW w:type="dxa" w:w="1134"/>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Coef.</w:t>
            </w:r>
          </w:p>
        </w:tc>
        <w:tc>
          <w:tcPr>
            <w:tcW w:type="dxa" w:w="1247"/>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p-value</w:t>
            </w:r>
          </w:p>
        </w:tc>
        <w:tc>
          <w:tcPr>
            <w:tcW w:type="dxa" w:w="5783"/>
            <w:tcBorders>
              <w:top w:val="single" w:sz="4" w:color="C9BC9C"/>
              <w:left w:val="single" w:sz="4" w:color="C9BC9C"/>
              <w:bottom w:val="single" w:sz="4" w:color="C9BC9C"/>
              <w:right w:val="single" w:sz="4" w:color="C9BC9C"/>
            </w:tcBorders>
            <w:shd w:fill="EFE6D3" w:val="clear"/>
          </w:tcPr>
          <w:p>
            <w:pPr>
              <w:spacing w:before="20" w:after="20" w:line="240" w:lineRule="auto"/>
              <w:jc w:val="center"/>
            </w:pPr>
            <w:r/>
            <w:r>
              <w:rPr>
                <w:rFonts w:ascii="Times New Roman" w:hAnsi="Times New Roman" w:eastAsia="Times New Roman"/>
                <w:b/>
                <w:i w:val="0"/>
                <w:color w:val="171B22"/>
                <w:sz w:val="16"/>
              </w:rPr>
              <w:t>Reading in plain English</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Intercept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+3.14</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0.000</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Baseline when other X = 0</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team_rank *</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−0.0133</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0.037</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Better own rank (smaller number) → more goals</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team_value</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+0.0003</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0.535</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Not significant once rank is in</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rest_days</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−0.207</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0.102</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Not significant</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knockout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−0.372</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0.313</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Not significant</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team_appearances</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+0.015</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0.558</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Own prior WC appearances not significant</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opp_appearances *</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−0.0645</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0.000</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More-experienced opponent → fewer goals</w:t>
            </w:r>
          </w:p>
        </w:tc>
      </w:tr>
      <w:tr>
        <w:tc>
          <w:tcPr>
            <w:tcW w:type="dxa" w:w="1928"/>
            <w:tcBorders>
              <w:top w:val="single" w:sz="4" w:color="C9BC9C"/>
              <w:left w:val="single" w:sz="4" w:color="C9BC9C"/>
              <w:bottom w:val="single" w:sz="4" w:color="C9BC9C"/>
              <w:right w:val="single" w:sz="4" w:color="C9BC9C"/>
            </w:tcBorders>
            <w:shd w:fill="F7F1E6" w:val="clear"/>
          </w:tcPr>
          <w:p>
            <w:pPr>
              <w:spacing w:before="20" w:after="20" w:line="240" w:lineRule="auto"/>
            </w:pPr>
            <w:r/>
            <w:r>
              <w:rPr>
                <w:rFonts w:ascii="Times New Roman" w:hAnsi="Times New Roman" w:eastAsia="Times New Roman"/>
                <w:b w:val="0"/>
                <w:i w:val="0"/>
                <w:color w:val="171B22"/>
                <w:sz w:val="16"/>
              </w:rPr>
              <w:t>is_uefa</w:t>
            </w:r>
          </w:p>
        </w:tc>
        <w:tc>
          <w:tcPr>
            <w:tcW w:type="dxa" w:w="1134"/>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+0.303</w:t>
            </w:r>
          </w:p>
        </w:tc>
        <w:tc>
          <w:tcPr>
            <w:tcW w:type="dxa" w:w="1247"/>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0.241</w:t>
            </w:r>
          </w:p>
        </w:tc>
        <w:tc>
          <w:tcPr>
            <w:tcW w:type="dxa" w:w="5783"/>
            <w:tcBorders>
              <w:top w:val="single" w:sz="4" w:color="C9BC9C"/>
              <w:left w:val="single" w:sz="4" w:color="C9BC9C"/>
              <w:bottom w:val="single" w:sz="4" w:color="C9BC9C"/>
              <w:right w:val="single" w:sz="4" w:color="C9BC9C"/>
            </w:tcBorders>
            <w:shd w:fill="F7F1E6" w:val="clear"/>
          </w:tcPr>
          <w:p>
            <w:pPr>
              <w:spacing w:before="20" w:after="20" w:line="240" w:lineRule="auto"/>
              <w:jc w:val="center"/>
            </w:pPr>
            <w:r/>
            <w:r>
              <w:rPr>
                <w:rFonts w:ascii="Times New Roman" w:hAnsi="Times New Roman" w:eastAsia="Times New Roman"/>
                <w:b w:val="0"/>
                <w:i w:val="0"/>
                <w:color w:val="171B22"/>
                <w:sz w:val="16"/>
              </w:rPr>
              <w:t>Not significant</w:t>
            </w:r>
          </w:p>
        </w:tc>
      </w:tr>
      <w:tr>
        <w:tc>
          <w:tcPr>
            <w:tcW w:type="dxa" w:w="1928"/>
            <w:tcBorders>
              <w:top w:val="single" w:sz="4" w:color="C9BC9C"/>
              <w:left w:val="single" w:sz="4" w:color="C9BC9C"/>
              <w:bottom w:val="single" w:sz="4" w:color="C9BC9C"/>
              <w:right w:val="single" w:sz="4" w:color="C9BC9C"/>
            </w:tcBorders>
          </w:tcPr>
          <w:p>
            <w:pPr>
              <w:spacing w:before="20" w:after="20" w:line="240" w:lineRule="auto"/>
            </w:pPr>
            <w:r/>
            <w:r>
              <w:rPr>
                <w:rFonts w:ascii="Times New Roman" w:hAnsi="Times New Roman" w:eastAsia="Times New Roman"/>
                <w:b w:val="0"/>
                <w:i w:val="0"/>
                <w:color w:val="171B22"/>
                <w:sz w:val="16"/>
              </w:rPr>
              <w:t>days_into_tournament</w:t>
            </w:r>
          </w:p>
        </w:tc>
        <w:tc>
          <w:tcPr>
            <w:tcW w:type="dxa" w:w="1134"/>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+0.008</w:t>
            </w:r>
          </w:p>
        </w:tc>
        <w:tc>
          <w:tcPr>
            <w:tcW w:type="dxa" w:w="1247"/>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0.668</w:t>
            </w:r>
          </w:p>
        </w:tc>
        <w:tc>
          <w:tcPr>
            <w:tcW w:type="dxa" w:w="5783"/>
            <w:tcBorders>
              <w:top w:val="single" w:sz="4" w:color="C9BC9C"/>
              <w:left w:val="single" w:sz="4" w:color="C9BC9C"/>
              <w:bottom w:val="single" w:sz="4" w:color="C9BC9C"/>
              <w:right w:val="single" w:sz="4" w:color="C9BC9C"/>
            </w:tcBorders>
          </w:tcPr>
          <w:p>
            <w:pPr>
              <w:spacing w:before="20" w:after="20" w:line="240" w:lineRule="auto"/>
              <w:jc w:val="center"/>
            </w:pPr>
            <w:r/>
            <w:r>
              <w:rPr>
                <w:rFonts w:ascii="Times New Roman" w:hAnsi="Times New Roman" w:eastAsia="Times New Roman"/>
                <w:b w:val="0"/>
                <w:i w:val="0"/>
                <w:color w:val="171B22"/>
                <w:sz w:val="16"/>
              </w:rPr>
              <w:t>Schedule day not significant</w:t>
            </w:r>
          </w:p>
        </w:tc>
      </w:tr>
    </w:tbl>
    <w:p>
      <w:pPr>
        <w:spacing w:after="40"/>
      </w:pPr>
    </w:p>
    <w:p>
      <w:pPr>
        <w:spacing w:before="0" w:after="80" w:line="240" w:lineRule="auto"/>
        <w:jc w:val="both"/>
      </w:pPr>
      <w:r>
        <w:rPr>
          <w:rFonts w:ascii="Times New Roman" w:hAnsi="Times New Roman" w:eastAsia="Times New Roman"/>
          <w:b w:val="0"/>
          <w:i w:val="0"/>
          <w:color w:val="171B22"/>
          <w:sz w:val="20"/>
        </w:rPr>
        <w:t>Two coefficients are significant at 5%: own FIFA rank and the opponent’s prior World Cup appearances. A better-ranked team scores more. A more experienced opponent (more past tournaments) is associated with about 0.06 fewer goals per extra appearance. Squad value, UEFA membership and calendar day are not significant after those two are included.</w:t>
      </w:r>
    </w:p>
    <w:p>
      <w:pPr>
        <w:spacing w:before="40" w:after="40"/>
        <w:jc w:val="center"/>
      </w:pPr>
      <w:r>
        <w:drawing>
          <wp:inline xmlns:a="http://schemas.openxmlformats.org/drawingml/2006/main" xmlns:pic="http://schemas.openxmlformats.org/drawingml/2006/picture">
            <wp:extent cx="2880360" cy="2884258"/>
            <wp:docPr id="1" name="Picture 1"/>
            <wp:cNvGraphicFramePr>
              <a:graphicFrameLocks noChangeAspect="1"/>
            </wp:cNvGraphicFramePr>
            <a:graphic>
              <a:graphicData uri="http://schemas.openxmlformats.org/drawingml/2006/picture">
                <pic:pic>
                  <pic:nvPicPr>
                    <pic:cNvPr id="0" name="reg1_pred.png"/>
                    <pic:cNvPicPr/>
                  </pic:nvPicPr>
                  <pic:blipFill>
                    <a:blip r:embed="rId9"/>
                    <a:stretch>
                      <a:fillRect/>
                    </a:stretch>
                  </pic:blipFill>
                  <pic:spPr>
                    <a:xfrm>
                      <a:off x="0" y="0"/>
                      <a:ext cx="2880360" cy="2884258"/>
                    </a:xfrm>
                    <a:prstGeom prst="rect"/>
                  </pic:spPr>
                </pic:pic>
              </a:graphicData>
            </a:graphic>
          </wp:inline>
        </w:drawing>
      </w:r>
      <w:r>
        <w:rPr>
          <w:rFonts w:ascii="Times New Roman" w:hAnsi="Times New Roman" w:eastAsia="Times New Roman"/>
          <w:b w:val="0"/>
          <w:i w:val="0"/>
          <w:color w:val="171B22"/>
          <w:sz w:val="20"/>
        </w:rPr>
        <w:t xml:space="preserve">  </w:t>
      </w:r>
      <w:r>
        <w:drawing>
          <wp:inline xmlns:a="http://schemas.openxmlformats.org/drawingml/2006/main" xmlns:pic="http://schemas.openxmlformats.org/drawingml/2006/picture">
            <wp:extent cx="2880360" cy="2880360"/>
            <wp:docPr id="2" name="Picture 2"/>
            <wp:cNvGraphicFramePr>
              <a:graphicFrameLocks noChangeAspect="1"/>
            </wp:cNvGraphicFramePr>
            <a:graphic>
              <a:graphicData uri="http://schemas.openxmlformats.org/drawingml/2006/picture">
                <pic:pic>
                  <pic:nvPicPr>
                    <pic:cNvPr id="0" name="reg2_pred.png"/>
                    <pic:cNvPicPr/>
                  </pic:nvPicPr>
                  <pic:blipFill>
                    <a:blip r:embed="rId10"/>
                    <a:stretch>
                      <a:fillRect/>
                    </a:stretch>
                  </pic:blipFill>
                  <pic:spPr>
                    <a:xfrm>
                      <a:off x="0" y="0"/>
                      <a:ext cx="2880360" cy="2880360"/>
                    </a:xfrm>
                    <a:prstGeom prst="rect"/>
                  </pic:spPr>
                </pic:pic>
              </a:graphicData>
            </a:graphic>
          </wp:inline>
        </w:drawing>
      </w:r>
    </w:p>
    <w:p>
      <w:pPr>
        <w:spacing w:before="0" w:after="120" w:line="240" w:lineRule="auto"/>
        <w:jc w:val="center"/>
      </w:pPr>
      <w:r>
        <w:rPr>
          <w:rFonts w:ascii="Times New Roman" w:hAnsi="Times New Roman" w:eastAsia="Times New Roman"/>
          <w:b w:val="0"/>
          <w:i/>
          <w:color w:val="171B22"/>
          <w:sz w:val="16"/>
        </w:rPr>
        <w:t>Figure 1. Test-set predicted versus actual values. Left: Model 2.1 goal difference. Right: Model 2.2 team goals. The dashed line is a perfect prediction. Points scatter around the line; Model 2.1 tracks the diagonal more tightly.</w:t>
      </w:r>
    </w:p>
    <w:p>
      <w:pPr>
        <w:spacing w:before="160" w:after="60" w:line="240" w:lineRule="auto"/>
      </w:pPr>
      <w:r>
        <w:rPr>
          <w:rFonts w:ascii="Times New Roman" w:hAnsi="Times New Roman" w:eastAsia="Times New Roman"/>
          <w:b/>
          <w:i w:val="0"/>
          <w:color w:val="6E2129"/>
          <w:sz w:val="22"/>
        </w:rPr>
        <w:t>5. Diagnostics, comparison and limitations</w:t>
      </w:r>
    </w:p>
    <w:p>
      <w:pPr>
        <w:spacing w:before="0" w:after="100" w:line="240" w:lineRule="auto"/>
        <w:jc w:val="both"/>
      </w:pPr>
      <w:r>
        <w:rPr>
          <w:rFonts w:ascii="Times New Roman" w:hAnsi="Times New Roman" w:eastAsia="Times New Roman"/>
          <w:b w:val="0"/>
          <w:i w:val="0"/>
          <w:color w:val="171B22"/>
          <w:sz w:val="20"/>
        </w:rPr>
        <w:t>Multicollinearity: largest VIF excluding the intercept is 3.30 in Model 2.1 and 3.44 in Model 2.2, both below 5. Shapiro–Wilk on training residuals: p = 0.937 for Model 2.1 (compatible with normality) and p = 0.017 for Model 2.2 (residuals not normal). Goals are a small count (0, 1, 2, 3…), so OLS is a blunt tool; the brief asked for linear regression, which is why we still use it. Poisson would be a natural next step for Model 2.2.</w:t>
      </w:r>
    </w:p>
    <w:p>
      <w:pPr>
        <w:spacing w:before="0" w:after="100" w:line="240" w:lineRule="auto"/>
        <w:jc w:val="both"/>
      </w:pPr>
      <w:r>
        <w:rPr>
          <w:rFonts w:ascii="Times New Roman" w:hAnsi="Times New Roman" w:eastAsia="Times New Roman"/>
          <w:b w:val="0"/>
          <w:i w:val="0"/>
          <w:color w:val="171B22"/>
          <w:sz w:val="20"/>
        </w:rPr>
        <w:t>Limitations. (1) The 208 rows in Model 2.2 are not fully independent, because two rows share a match; this can make standard errors look too small. Model 2.1 does not have that problem. (2) Transfermarkt values and average ages are a snapshot and can move a few percent with the pull date. Rankings, scores and titles do not. (3) The test set for Model 2.1 is only 21 matches, so test R² = 0.306 should be read as a rough check, not a precise claim. (4) We pre-specified eight substantively motivated predictors rather than dropping variables until every p-value was below 0.05. Age, titles and host mostly dropping out is a result, not a failure. (5) Rest-day imputation for first matches is a simple median fill; it is honest but blunt.</w:t>
      </w:r>
    </w:p>
    <w:p>
      <w:pPr>
        <w:spacing w:before="160" w:after="60" w:line="240" w:lineRule="auto"/>
      </w:pPr>
      <w:r>
        <w:rPr>
          <w:rFonts w:ascii="Times New Roman" w:hAnsi="Times New Roman" w:eastAsia="Times New Roman"/>
          <w:b/>
          <w:i w:val="0"/>
          <w:color w:val="6E2129"/>
          <w:sz w:val="22"/>
        </w:rPr>
        <w:t>6. Conclusion</w:t>
      </w:r>
    </w:p>
    <w:p>
      <w:pPr>
        <w:spacing w:before="0" w:after="80" w:line="240" w:lineRule="auto"/>
        <w:jc w:val="both"/>
      </w:pPr>
      <w:r>
        <w:rPr>
          <w:rFonts w:ascii="Times New Roman" w:hAnsi="Times New Roman" w:eastAsia="Times New Roman"/>
          <w:b w:val="0"/>
          <w:i w:val="0"/>
          <w:color w:val="171B22"/>
          <w:sz w:val="20"/>
        </w:rPr>
        <w:t>Before kick-off, FIFA ranking is the most consistent signal. In Model 2.1, rank_diff and value_diff are the only 5% significant drivers of goal difference; a billion-euro value edge is about +1.7 net goals after rank is held fixed. In Model 2.2, after we keep only four shared ideas, a team scores more when it is better ranked and scores less against opponents with more World Cup history. Test R² is much higher for goal difference (0.31) than for a single team’s tally (0.07). That gap is partly the harder target, and partly the four-variable sharing rule, which stops us putting opponent rank into both models. We would next try a Poisson model for 2.2, still with the same eight pre-match predictors.</w:t>
      </w:r>
    </w:p>
    <w:p>
      <w:pPr>
        <w:spacing w:before="0" w:after="0" w:line="240" w:lineRule="auto"/>
      </w:pPr>
      <w:r>
        <w:rPr>
          <w:rFonts w:ascii="Times New Roman" w:hAnsi="Times New Roman" w:eastAsia="Times New Roman"/>
          <w:b w:val="0"/>
          <w:i/>
          <w:color w:val="171B22"/>
          <w:sz w:val="18"/>
        </w:rPr>
        <w:t>Word count of the body is within the four-page A4, 10 pt, single-spaced limit. Figures are produced by the same Python file that fits the models.</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