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5338" w14:textId="4C8816EF" w:rsidR="00170815" w:rsidRPr="00170815" w:rsidRDefault="00170815" w:rsidP="003C3EED">
      <w:pPr>
        <w:jc w:val="center"/>
        <w:rPr>
          <w:b/>
          <w:bCs/>
        </w:rPr>
      </w:pPr>
      <w:r w:rsidRPr="00170815">
        <w:rPr>
          <w:b/>
          <w:bCs/>
        </w:rPr>
        <w:t>Problem Statement &amp; Dataset Overview</w:t>
      </w:r>
    </w:p>
    <w:p w14:paraId="6A8E6176" w14:textId="125D98E4" w:rsidR="00170815" w:rsidRPr="003C3EED" w:rsidRDefault="00170815" w:rsidP="00170815">
      <w:pPr>
        <w:rPr>
          <w:b/>
          <w:bCs/>
        </w:rPr>
      </w:pPr>
      <w:r w:rsidRPr="00170815">
        <w:rPr>
          <w:b/>
          <w:bCs/>
        </w:rPr>
        <w:t>Title</w:t>
      </w:r>
      <w:r w:rsidR="003C3EED">
        <w:rPr>
          <w:b/>
          <w:bCs/>
        </w:rPr>
        <w:t xml:space="preserve"> : </w:t>
      </w:r>
      <w:r w:rsidRPr="00170815">
        <w:rPr>
          <w:b/>
          <w:bCs/>
        </w:rPr>
        <w:t>Aadhaar Age Disparity Analysis Across Indian States</w:t>
      </w:r>
    </w:p>
    <w:p w14:paraId="733DE6F9" w14:textId="56263BCC" w:rsidR="00170815" w:rsidRPr="00170815" w:rsidRDefault="00170815" w:rsidP="00170815">
      <w:pPr>
        <w:rPr>
          <w:b/>
          <w:bCs/>
        </w:rPr>
      </w:pPr>
      <w:r w:rsidRPr="00170815">
        <w:rPr>
          <w:b/>
          <w:bCs/>
        </w:rPr>
        <w:t>Problem Statement</w:t>
      </w:r>
    </w:p>
    <w:p w14:paraId="4091DA57" w14:textId="77777777" w:rsidR="00EB4A00" w:rsidRDefault="00EB4A00" w:rsidP="00EB4A00">
      <w:pPr>
        <w:jc w:val="both"/>
      </w:pPr>
      <w:r w:rsidRPr="00EB4A00">
        <w:t>The Aadhaar enrollment distribution across age groups varies significantly across Indian states. This study identifies age-wise disparities in enrollment progression from early childhood to adulthood and evaluates how effectively states ensure continuity of Aadhaar inclusion across life stages.</w:t>
      </w:r>
    </w:p>
    <w:p w14:paraId="0D2D7BA0" w14:textId="4F009357" w:rsidR="00EB4A00" w:rsidRPr="00EB4A00" w:rsidRDefault="00EB4A00" w:rsidP="00EB4A00">
      <w:pPr>
        <w:rPr>
          <w:b/>
          <w:bCs/>
        </w:rPr>
      </w:pPr>
      <w:r w:rsidRPr="00EB4A00">
        <w:rPr>
          <w:b/>
          <w:bCs/>
        </w:rPr>
        <w:t xml:space="preserve">Objectives </w:t>
      </w:r>
    </w:p>
    <w:p w14:paraId="24EC6FEF" w14:textId="77777777" w:rsidR="00EB4A00" w:rsidRPr="00EB4A00" w:rsidRDefault="00EB4A00" w:rsidP="00EB4A00">
      <w:pPr>
        <w:numPr>
          <w:ilvl w:val="0"/>
          <w:numId w:val="13"/>
        </w:numPr>
      </w:pPr>
      <w:r w:rsidRPr="00EB4A00">
        <w:t>Analyze state-wise Aadhaar enrollment across age groups (0–5, 5–17, 18+)</w:t>
      </w:r>
    </w:p>
    <w:p w14:paraId="1D8EF041" w14:textId="77777777" w:rsidR="00EB4A00" w:rsidRPr="00EB4A00" w:rsidRDefault="00EB4A00" w:rsidP="00EB4A00">
      <w:pPr>
        <w:numPr>
          <w:ilvl w:val="0"/>
          <w:numId w:val="13"/>
        </w:numPr>
      </w:pPr>
      <w:r w:rsidRPr="00EB4A00">
        <w:t>Quantify transition gaps using normalized disparity metrics</w:t>
      </w:r>
    </w:p>
    <w:p w14:paraId="0FA3AB95" w14:textId="77777777" w:rsidR="00EB4A00" w:rsidRPr="00EB4A00" w:rsidRDefault="00EB4A00" w:rsidP="00EB4A00">
      <w:pPr>
        <w:numPr>
          <w:ilvl w:val="0"/>
          <w:numId w:val="13"/>
        </w:numPr>
      </w:pPr>
      <w:r w:rsidRPr="00EB4A00">
        <w:t>Compare states based on child transition and adult inclusion performance</w:t>
      </w:r>
    </w:p>
    <w:p w14:paraId="14FA2EED" w14:textId="77777777" w:rsidR="00EB4A00" w:rsidRPr="00EB4A00" w:rsidRDefault="00EB4A00" w:rsidP="00EB4A00">
      <w:pPr>
        <w:numPr>
          <w:ilvl w:val="0"/>
          <w:numId w:val="13"/>
        </w:numPr>
      </w:pPr>
      <w:r w:rsidRPr="00EB4A00">
        <w:t>Visualize insights through an interactive Power BI dashboard</w:t>
      </w:r>
    </w:p>
    <w:p w14:paraId="773B5C01" w14:textId="77777777" w:rsidR="00170815" w:rsidRPr="00170815" w:rsidRDefault="00170815" w:rsidP="00170815">
      <w:pPr>
        <w:rPr>
          <w:b/>
          <w:bCs/>
        </w:rPr>
      </w:pPr>
      <w:r w:rsidRPr="00170815">
        <w:rPr>
          <w:b/>
          <w:bCs/>
        </w:rPr>
        <w:t>Dataset Description</w:t>
      </w:r>
    </w:p>
    <w:p w14:paraId="3B4594F7" w14:textId="77777777" w:rsidR="00170815" w:rsidRPr="00170815" w:rsidRDefault="00170815" w:rsidP="00170815">
      <w:pPr>
        <w:numPr>
          <w:ilvl w:val="0"/>
          <w:numId w:val="2"/>
        </w:numPr>
      </w:pPr>
      <w:r w:rsidRPr="00170815">
        <w:t>Source: Aadhaar enrollment data (state-wise)</w:t>
      </w:r>
    </w:p>
    <w:p w14:paraId="77709248" w14:textId="77777777" w:rsidR="00170815" w:rsidRPr="00170815" w:rsidRDefault="00170815" w:rsidP="00170815">
      <w:pPr>
        <w:numPr>
          <w:ilvl w:val="0"/>
          <w:numId w:val="2"/>
        </w:numPr>
      </w:pPr>
      <w:r w:rsidRPr="00170815">
        <w:t>Attributes:</w:t>
      </w:r>
    </w:p>
    <w:p w14:paraId="34A8CA18" w14:textId="77777777" w:rsidR="00170815" w:rsidRPr="00170815" w:rsidRDefault="00170815" w:rsidP="00170815">
      <w:pPr>
        <w:numPr>
          <w:ilvl w:val="1"/>
          <w:numId w:val="2"/>
        </w:numPr>
      </w:pPr>
      <w:r w:rsidRPr="00170815">
        <w:t>Age groups: 0–5 years, 5–17 years, 18+ years</w:t>
      </w:r>
    </w:p>
    <w:p w14:paraId="4A5DD0F6" w14:textId="77777777" w:rsidR="00170815" w:rsidRPr="00170815" w:rsidRDefault="00170815" w:rsidP="00170815">
      <w:pPr>
        <w:numPr>
          <w:ilvl w:val="1"/>
          <w:numId w:val="2"/>
        </w:numPr>
      </w:pPr>
      <w:r w:rsidRPr="00170815">
        <w:t>Derived metrics: percentage share, disparity scores</w:t>
      </w:r>
    </w:p>
    <w:p w14:paraId="113410A2" w14:textId="77777777" w:rsidR="00DF388A" w:rsidRDefault="00DF388A"/>
    <w:p w14:paraId="5C42A6CB" w14:textId="77777777" w:rsidR="00170815" w:rsidRDefault="00170815"/>
    <w:p w14:paraId="65A54B88" w14:textId="77777777" w:rsidR="00170815" w:rsidRDefault="00170815"/>
    <w:p w14:paraId="08A5A286" w14:textId="77777777" w:rsidR="00281E8D" w:rsidRDefault="00281E8D"/>
    <w:p w14:paraId="44AAC632" w14:textId="77777777" w:rsidR="00281E8D" w:rsidRDefault="00281E8D"/>
    <w:p w14:paraId="2CCD5CAB" w14:textId="77777777" w:rsidR="00281E8D" w:rsidRDefault="00281E8D"/>
    <w:p w14:paraId="1B118E23" w14:textId="77777777" w:rsidR="00281E8D" w:rsidRDefault="00281E8D"/>
    <w:p w14:paraId="4725C34E" w14:textId="77777777" w:rsidR="00281E8D" w:rsidRDefault="00281E8D"/>
    <w:p w14:paraId="500304F2" w14:textId="77777777" w:rsidR="00281E8D" w:rsidRDefault="00281E8D"/>
    <w:p w14:paraId="6E5C9DF9" w14:textId="3D3EE699" w:rsidR="00281E8D" w:rsidRPr="00281E8D" w:rsidRDefault="00281E8D" w:rsidP="00170815">
      <w:r w:rsidRPr="00281E8D">
        <w:rPr>
          <w:b/>
          <w:bCs/>
        </w:rPr>
        <w:t>Author:</w:t>
      </w:r>
      <w:r w:rsidRPr="00281E8D">
        <w:t xml:space="preserve"> </w:t>
      </w:r>
      <w:r>
        <w:t>Bhushan Parab</w:t>
      </w:r>
      <w:r w:rsidRPr="00281E8D">
        <w:br/>
        <w:t>Undergraduate Student (B.TECH IT), SIES GST</w:t>
      </w:r>
    </w:p>
    <w:p w14:paraId="4EA5EB5D" w14:textId="77777777" w:rsidR="003C3EED" w:rsidRDefault="003C3EED" w:rsidP="00170815">
      <w:pPr>
        <w:rPr>
          <w:b/>
          <w:bCs/>
        </w:rPr>
      </w:pPr>
    </w:p>
    <w:p w14:paraId="6721970E" w14:textId="13D0DC73" w:rsidR="00170815" w:rsidRPr="00170815" w:rsidRDefault="00170815" w:rsidP="003C3EED">
      <w:pPr>
        <w:rPr>
          <w:b/>
          <w:bCs/>
        </w:rPr>
      </w:pPr>
      <w:r w:rsidRPr="00170815">
        <w:rPr>
          <w:b/>
          <w:bCs/>
        </w:rPr>
        <w:lastRenderedPageBreak/>
        <w:t>Analysis Approach</w:t>
      </w:r>
    </w:p>
    <w:p w14:paraId="055ECCA9" w14:textId="77777777" w:rsidR="00EB4A00" w:rsidRDefault="00EB4A00" w:rsidP="00EB4A00">
      <w:pPr>
        <w:jc w:val="both"/>
      </w:pPr>
      <w:r w:rsidRPr="00EB4A00">
        <w:t>State-wise Aadhaar enrollment data was aggregated and normalized into percentage distributions to ensure fair comparison across states with varying population sizes. Two disparity metrics were derived to evaluate age-based enrollment continuity.</w:t>
      </w:r>
    </w:p>
    <w:p w14:paraId="48E2CCF9" w14:textId="0CA3DCEB" w:rsidR="00170815" w:rsidRPr="00170815" w:rsidRDefault="00170815" w:rsidP="00170815">
      <w:pPr>
        <w:rPr>
          <w:b/>
          <w:bCs/>
        </w:rPr>
      </w:pPr>
      <w:r w:rsidRPr="00170815">
        <w:rPr>
          <w:b/>
          <w:bCs/>
        </w:rPr>
        <w:t>Power BI Visuals Used</w:t>
      </w:r>
    </w:p>
    <w:p w14:paraId="3FDE3B95" w14:textId="77777777" w:rsidR="00170815" w:rsidRPr="00170815" w:rsidRDefault="00170815" w:rsidP="00170815">
      <w:pPr>
        <w:numPr>
          <w:ilvl w:val="0"/>
          <w:numId w:val="4"/>
        </w:numPr>
      </w:pPr>
      <w:r w:rsidRPr="00170815">
        <w:rPr>
          <w:b/>
          <w:bCs/>
        </w:rPr>
        <w:t>Filled Map</w:t>
      </w:r>
      <w:r w:rsidRPr="00170815">
        <w:t xml:space="preserve"> – State-wise Adult Inclusion Gap</w:t>
      </w:r>
    </w:p>
    <w:p w14:paraId="4BA095C6" w14:textId="77777777" w:rsidR="00170815" w:rsidRPr="00170815" w:rsidRDefault="00170815" w:rsidP="00170815">
      <w:pPr>
        <w:numPr>
          <w:ilvl w:val="0"/>
          <w:numId w:val="4"/>
        </w:numPr>
      </w:pPr>
      <w:r w:rsidRPr="00170815">
        <w:rPr>
          <w:b/>
          <w:bCs/>
        </w:rPr>
        <w:t>Clustered Bar Charts</w:t>
      </w:r>
      <w:r w:rsidRPr="00170815">
        <w:t xml:space="preserve"> – Child Transition Disparity &amp; Adult Inclusion Gap</w:t>
      </w:r>
    </w:p>
    <w:p w14:paraId="6A9EB42E" w14:textId="77777777" w:rsidR="00170815" w:rsidRPr="00170815" w:rsidRDefault="00170815" w:rsidP="00170815">
      <w:pPr>
        <w:numPr>
          <w:ilvl w:val="0"/>
          <w:numId w:val="4"/>
        </w:numPr>
      </w:pPr>
      <w:r w:rsidRPr="00170815">
        <w:rPr>
          <w:b/>
          <w:bCs/>
        </w:rPr>
        <w:t>Stacked Bar Chart</w:t>
      </w:r>
      <w:r w:rsidRPr="00170815">
        <w:t xml:space="preserve"> – Age-wise Aadhaar enrollment composition</w:t>
      </w:r>
    </w:p>
    <w:p w14:paraId="65732E16" w14:textId="77777777" w:rsidR="00170815" w:rsidRPr="00170815" w:rsidRDefault="00170815" w:rsidP="00170815">
      <w:pPr>
        <w:numPr>
          <w:ilvl w:val="0"/>
          <w:numId w:val="4"/>
        </w:numPr>
      </w:pPr>
      <w:r w:rsidRPr="00170815">
        <w:rPr>
          <w:b/>
          <w:bCs/>
        </w:rPr>
        <w:t>Slicers</w:t>
      </w:r>
      <w:r w:rsidRPr="00170815">
        <w:t xml:space="preserve"> – State-level filtering</w:t>
      </w:r>
    </w:p>
    <w:p w14:paraId="3EF4F4AA" w14:textId="3691E328" w:rsidR="00170815" w:rsidRDefault="00281E8D">
      <w:r w:rsidRPr="00281E8D">
        <w:rPr>
          <w:noProof/>
        </w:rPr>
        <w:drawing>
          <wp:inline distT="0" distB="0" distL="0" distR="0" wp14:anchorId="15C440B0" wp14:editId="51AA05E8">
            <wp:extent cx="5731510" cy="3146425"/>
            <wp:effectExtent l="0" t="0" r="2540" b="0"/>
            <wp:docPr id="150454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46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1F56" w14:textId="77777777" w:rsidR="00170815" w:rsidRDefault="00170815"/>
    <w:p w14:paraId="6E998324" w14:textId="77777777" w:rsidR="00170815" w:rsidRDefault="00170815"/>
    <w:p w14:paraId="11966F6D" w14:textId="77777777" w:rsidR="00170815" w:rsidRDefault="00170815"/>
    <w:p w14:paraId="74ABAEF1" w14:textId="77777777" w:rsidR="00170815" w:rsidRDefault="00170815"/>
    <w:p w14:paraId="708E5BEF" w14:textId="77777777" w:rsidR="00170815" w:rsidRDefault="00170815"/>
    <w:p w14:paraId="14467206" w14:textId="77777777" w:rsidR="00170815" w:rsidRDefault="00170815"/>
    <w:p w14:paraId="70122C85" w14:textId="77777777" w:rsidR="00170815" w:rsidRDefault="00170815"/>
    <w:p w14:paraId="1282AC3A" w14:textId="77777777" w:rsidR="00170815" w:rsidRDefault="00170815"/>
    <w:p w14:paraId="756AFFFC" w14:textId="77777777" w:rsidR="00170815" w:rsidRDefault="00170815"/>
    <w:p w14:paraId="53D7570A" w14:textId="77777777" w:rsidR="004348DA" w:rsidRPr="004348DA" w:rsidRDefault="004348DA" w:rsidP="004348DA">
      <w:pPr>
        <w:rPr>
          <w:b/>
          <w:bCs/>
        </w:rPr>
      </w:pPr>
      <w:r w:rsidRPr="004348DA">
        <w:rPr>
          <w:b/>
          <w:bCs/>
        </w:rPr>
        <w:lastRenderedPageBreak/>
        <w:t>Metric Definitions &amp; Analysis Explanation</w:t>
      </w:r>
    </w:p>
    <w:p w14:paraId="0732EE42" w14:textId="6CF20521" w:rsidR="004348DA" w:rsidRPr="004348DA" w:rsidRDefault="00281E8D" w:rsidP="004348DA">
      <w:pPr>
        <w:rPr>
          <w:b/>
          <w:bCs/>
        </w:rPr>
      </w:pPr>
      <w:r>
        <w:rPr>
          <w:b/>
          <w:bCs/>
        </w:rPr>
        <w:t>1.</w:t>
      </w:r>
      <w:r w:rsidR="004348DA" w:rsidRPr="004348DA">
        <w:rPr>
          <w:b/>
          <w:bCs/>
        </w:rPr>
        <w:t xml:space="preserve"> Child Transition Disparity (CTD)</w:t>
      </w:r>
    </w:p>
    <w:p w14:paraId="47EB025D" w14:textId="77777777" w:rsidR="004348DA" w:rsidRPr="004348DA" w:rsidRDefault="004348DA" w:rsidP="004348DA">
      <w:r w:rsidRPr="004348DA">
        <w:rPr>
          <w:b/>
          <w:bCs/>
        </w:rPr>
        <w:t>Formula:</w:t>
      </w:r>
    </w:p>
    <w:p w14:paraId="1DC67FF5" w14:textId="77777777" w:rsidR="004348DA" w:rsidRPr="004348DA" w:rsidRDefault="004348DA" w:rsidP="004348DA">
      <w:r w:rsidRPr="004348DA">
        <w:t>CTD = % (Age 0–5) − % (Age 5–17)</w:t>
      </w:r>
    </w:p>
    <w:p w14:paraId="63278922" w14:textId="77777777" w:rsidR="004348DA" w:rsidRPr="004348DA" w:rsidRDefault="004348DA" w:rsidP="004348DA">
      <w:r w:rsidRPr="004348DA">
        <w:rPr>
          <w:b/>
          <w:bCs/>
        </w:rPr>
        <w:t>Interpretation:</w:t>
      </w:r>
    </w:p>
    <w:p w14:paraId="7EC4C0DA" w14:textId="77777777" w:rsidR="004348DA" w:rsidRPr="004348DA" w:rsidRDefault="004348DA" w:rsidP="004348DA">
      <w:pPr>
        <w:numPr>
          <w:ilvl w:val="0"/>
          <w:numId w:val="5"/>
        </w:numPr>
      </w:pPr>
      <w:r w:rsidRPr="004348DA">
        <w:rPr>
          <w:b/>
          <w:bCs/>
        </w:rPr>
        <w:t>High positive value</w:t>
      </w:r>
      <w:r w:rsidRPr="004348DA">
        <w:t xml:space="preserve"> → Strong early enrollment, weak transition to school-age</w:t>
      </w:r>
    </w:p>
    <w:p w14:paraId="5D2773CA" w14:textId="77777777" w:rsidR="004348DA" w:rsidRPr="004348DA" w:rsidRDefault="004348DA" w:rsidP="004348DA">
      <w:pPr>
        <w:numPr>
          <w:ilvl w:val="0"/>
          <w:numId w:val="5"/>
        </w:numPr>
      </w:pPr>
      <w:r w:rsidRPr="004348DA">
        <w:rPr>
          <w:b/>
          <w:bCs/>
        </w:rPr>
        <w:t>Near zero</w:t>
      </w:r>
      <w:r w:rsidRPr="004348DA">
        <w:t xml:space="preserve"> → Balanced transition</w:t>
      </w:r>
    </w:p>
    <w:p w14:paraId="4D91EB51" w14:textId="77777777" w:rsidR="004348DA" w:rsidRPr="004348DA" w:rsidRDefault="004348DA" w:rsidP="004348DA">
      <w:pPr>
        <w:numPr>
          <w:ilvl w:val="0"/>
          <w:numId w:val="5"/>
        </w:numPr>
      </w:pPr>
      <w:r w:rsidRPr="004348DA">
        <w:rPr>
          <w:b/>
          <w:bCs/>
        </w:rPr>
        <w:t>Negative value</w:t>
      </w:r>
      <w:r w:rsidRPr="004348DA">
        <w:t xml:space="preserve"> → Better retention in 5–17 age group</w:t>
      </w:r>
    </w:p>
    <w:p w14:paraId="71FD6195" w14:textId="77777777" w:rsidR="004348DA" w:rsidRPr="004348DA" w:rsidRDefault="004348DA" w:rsidP="004348DA">
      <w:r w:rsidRPr="004348DA">
        <w:rPr>
          <w:rFonts w:ascii="Segoe UI Emoji" w:hAnsi="Segoe UI Emoji" w:cs="Segoe UI Emoji"/>
        </w:rPr>
        <w:t>✔️</w:t>
      </w:r>
      <w:r w:rsidRPr="004348DA">
        <w:t xml:space="preserve"> </w:t>
      </w:r>
      <w:r w:rsidRPr="004348DA">
        <w:rPr>
          <w:b/>
          <w:bCs/>
        </w:rPr>
        <w:t>Lower CTD is better</w:t>
      </w:r>
    </w:p>
    <w:p w14:paraId="20958532" w14:textId="77777777" w:rsidR="004348DA" w:rsidRPr="004348DA" w:rsidRDefault="00000000" w:rsidP="004348DA">
      <w:r>
        <w:pict w14:anchorId="2BF40F1B">
          <v:rect id="_x0000_i1025" style="width:0;height:1.5pt" o:hralign="center" o:hrstd="t" o:hr="t" fillcolor="#a0a0a0" stroked="f"/>
        </w:pict>
      </w:r>
    </w:p>
    <w:p w14:paraId="23239094" w14:textId="72DE1EE4" w:rsidR="004348DA" w:rsidRPr="004348DA" w:rsidRDefault="00281E8D" w:rsidP="004348DA">
      <w:pPr>
        <w:rPr>
          <w:b/>
          <w:bCs/>
        </w:rPr>
      </w:pPr>
      <w:r>
        <w:rPr>
          <w:b/>
          <w:bCs/>
        </w:rPr>
        <w:t xml:space="preserve">2. </w:t>
      </w:r>
      <w:r w:rsidR="004348DA" w:rsidRPr="004348DA">
        <w:rPr>
          <w:b/>
          <w:bCs/>
        </w:rPr>
        <w:t xml:space="preserve"> Adult Inclusion Gap (AIG)</w:t>
      </w:r>
    </w:p>
    <w:p w14:paraId="266E4732" w14:textId="77777777" w:rsidR="004348DA" w:rsidRPr="004348DA" w:rsidRDefault="004348DA" w:rsidP="004348DA">
      <w:r w:rsidRPr="004348DA">
        <w:rPr>
          <w:b/>
          <w:bCs/>
        </w:rPr>
        <w:t>Formula:</w:t>
      </w:r>
    </w:p>
    <w:p w14:paraId="6FAE234D" w14:textId="77777777" w:rsidR="004348DA" w:rsidRPr="004348DA" w:rsidRDefault="004348DA" w:rsidP="004348DA">
      <w:r w:rsidRPr="004348DA">
        <w:t>AIG = % (Age 0–5) − % (Age 18+)</w:t>
      </w:r>
    </w:p>
    <w:p w14:paraId="068D2E86" w14:textId="77777777" w:rsidR="004348DA" w:rsidRPr="004348DA" w:rsidRDefault="004348DA" w:rsidP="004348DA">
      <w:r w:rsidRPr="004348DA">
        <w:rPr>
          <w:b/>
          <w:bCs/>
        </w:rPr>
        <w:t>Interpretation:</w:t>
      </w:r>
    </w:p>
    <w:p w14:paraId="713E6D5E" w14:textId="77777777" w:rsidR="004348DA" w:rsidRPr="004348DA" w:rsidRDefault="004348DA" w:rsidP="004348DA">
      <w:pPr>
        <w:numPr>
          <w:ilvl w:val="0"/>
          <w:numId w:val="6"/>
        </w:numPr>
      </w:pPr>
      <w:r w:rsidRPr="004348DA">
        <w:rPr>
          <w:b/>
          <w:bCs/>
        </w:rPr>
        <w:t>High value</w:t>
      </w:r>
      <w:r w:rsidRPr="004348DA">
        <w:t xml:space="preserve"> → Weak conversion of early enrollments into adults</w:t>
      </w:r>
    </w:p>
    <w:p w14:paraId="02F6B32D" w14:textId="77777777" w:rsidR="004348DA" w:rsidRPr="004348DA" w:rsidRDefault="004348DA" w:rsidP="004348DA">
      <w:pPr>
        <w:numPr>
          <w:ilvl w:val="0"/>
          <w:numId w:val="6"/>
        </w:numPr>
      </w:pPr>
      <w:r w:rsidRPr="004348DA">
        <w:rPr>
          <w:b/>
          <w:bCs/>
        </w:rPr>
        <w:t>Low or negative value</w:t>
      </w:r>
      <w:r w:rsidRPr="004348DA">
        <w:t xml:space="preserve"> → Strong adult inclusion</w:t>
      </w:r>
    </w:p>
    <w:p w14:paraId="4D447AEC" w14:textId="77777777" w:rsidR="004348DA" w:rsidRPr="004348DA" w:rsidRDefault="004348DA" w:rsidP="004348DA">
      <w:r w:rsidRPr="004348DA">
        <w:rPr>
          <w:rFonts w:ascii="Segoe UI Emoji" w:hAnsi="Segoe UI Emoji" w:cs="Segoe UI Emoji"/>
        </w:rPr>
        <w:t>✔️</w:t>
      </w:r>
      <w:r w:rsidRPr="004348DA">
        <w:t xml:space="preserve"> </w:t>
      </w:r>
      <w:r w:rsidRPr="004348DA">
        <w:rPr>
          <w:b/>
          <w:bCs/>
        </w:rPr>
        <w:t>Lower AIG is better</w:t>
      </w:r>
    </w:p>
    <w:p w14:paraId="572C84B4" w14:textId="77777777" w:rsidR="004348DA" w:rsidRPr="004348DA" w:rsidRDefault="00000000" w:rsidP="004348DA">
      <w:r>
        <w:pict w14:anchorId="4CF45114">
          <v:rect id="_x0000_i1026" style="width:0;height:1.5pt" o:hralign="center" o:hrstd="t" o:hr="t" fillcolor="#a0a0a0" stroked="f"/>
        </w:pict>
      </w:r>
    </w:p>
    <w:p w14:paraId="61EBDD7B" w14:textId="77777777" w:rsidR="004348DA" w:rsidRPr="004348DA" w:rsidRDefault="004348DA" w:rsidP="004348DA">
      <w:pPr>
        <w:rPr>
          <w:b/>
          <w:bCs/>
        </w:rPr>
      </w:pPr>
      <w:r w:rsidRPr="004348DA">
        <w:rPr>
          <w:b/>
          <w:bCs/>
        </w:rPr>
        <w:t>Why Percentages (Normalization)?</w:t>
      </w:r>
    </w:p>
    <w:p w14:paraId="309CADB2" w14:textId="77777777" w:rsidR="004348DA" w:rsidRPr="004348DA" w:rsidRDefault="004348DA" w:rsidP="004348DA">
      <w:pPr>
        <w:numPr>
          <w:ilvl w:val="0"/>
          <w:numId w:val="7"/>
        </w:numPr>
      </w:pPr>
      <w:r w:rsidRPr="004348DA">
        <w:t>States vary greatly in population size</w:t>
      </w:r>
    </w:p>
    <w:p w14:paraId="05C062BB" w14:textId="77777777" w:rsidR="004348DA" w:rsidRPr="004348DA" w:rsidRDefault="004348DA" w:rsidP="004348DA">
      <w:pPr>
        <w:numPr>
          <w:ilvl w:val="0"/>
          <w:numId w:val="7"/>
        </w:numPr>
      </w:pPr>
      <w:r w:rsidRPr="004348DA">
        <w:t xml:space="preserve">Percentages allow </w:t>
      </w:r>
      <w:r w:rsidRPr="004348DA">
        <w:rPr>
          <w:b/>
          <w:bCs/>
        </w:rPr>
        <w:t>fair comparison</w:t>
      </w:r>
    </w:p>
    <w:p w14:paraId="409843F9" w14:textId="77777777" w:rsidR="004348DA" w:rsidRPr="004348DA" w:rsidRDefault="004348DA" w:rsidP="004348DA">
      <w:pPr>
        <w:numPr>
          <w:ilvl w:val="0"/>
          <w:numId w:val="7"/>
        </w:numPr>
      </w:pPr>
      <w:r w:rsidRPr="004348DA">
        <w:t>Prevent large states from dominating results</w:t>
      </w:r>
    </w:p>
    <w:p w14:paraId="0859C9AC" w14:textId="77777777" w:rsidR="004348DA" w:rsidRDefault="004348DA"/>
    <w:p w14:paraId="589D7C28" w14:textId="77777777" w:rsidR="004348DA" w:rsidRDefault="004348DA"/>
    <w:p w14:paraId="1C88BBE8" w14:textId="77777777" w:rsidR="004348DA" w:rsidRDefault="004348DA"/>
    <w:p w14:paraId="6695A579" w14:textId="77777777" w:rsidR="004348DA" w:rsidRDefault="004348DA"/>
    <w:p w14:paraId="32A48143" w14:textId="77777777" w:rsidR="004348DA" w:rsidRDefault="004348DA"/>
    <w:p w14:paraId="4B8C2B70" w14:textId="77777777" w:rsidR="004348DA" w:rsidRDefault="004348DA"/>
    <w:p w14:paraId="063C1BCB" w14:textId="77777777" w:rsidR="004348DA" w:rsidRPr="004348DA" w:rsidRDefault="004348DA" w:rsidP="004348DA">
      <w:pPr>
        <w:rPr>
          <w:b/>
          <w:bCs/>
        </w:rPr>
      </w:pPr>
      <w:r w:rsidRPr="004348DA">
        <w:rPr>
          <w:b/>
          <w:bCs/>
        </w:rPr>
        <w:lastRenderedPageBreak/>
        <w:t>Solution &amp; Insights</w:t>
      </w:r>
    </w:p>
    <w:p w14:paraId="4B02E947" w14:textId="77777777" w:rsidR="004348DA" w:rsidRPr="004348DA" w:rsidRDefault="004348DA" w:rsidP="004348DA">
      <w:pPr>
        <w:rPr>
          <w:b/>
          <w:bCs/>
        </w:rPr>
      </w:pPr>
      <w:r w:rsidRPr="004348DA">
        <w:rPr>
          <w:b/>
          <w:bCs/>
        </w:rPr>
        <w:t>Why the Dual-Metric Approach is Better</w:t>
      </w:r>
    </w:p>
    <w:p w14:paraId="49BC1AEA" w14:textId="77777777" w:rsidR="004348DA" w:rsidRPr="004348DA" w:rsidRDefault="004348DA" w:rsidP="00EB4A00">
      <w:pPr>
        <w:jc w:val="both"/>
      </w:pPr>
      <w:r w:rsidRPr="004348DA">
        <w:t>Traditional Aadhaar enrollment analysis often relies on overall enrollment counts, which can hide age-specific gaps. The dual-metric approach used in this study separates enrollment challenges into two distinct stages:</w:t>
      </w:r>
    </w:p>
    <w:p w14:paraId="50615FD8" w14:textId="77777777" w:rsidR="004348DA" w:rsidRPr="004348DA" w:rsidRDefault="004348DA" w:rsidP="00EB4A00">
      <w:pPr>
        <w:numPr>
          <w:ilvl w:val="0"/>
          <w:numId w:val="8"/>
        </w:numPr>
        <w:jc w:val="both"/>
      </w:pPr>
      <w:r w:rsidRPr="004348DA">
        <w:rPr>
          <w:b/>
          <w:bCs/>
        </w:rPr>
        <w:t>Child Transition Disparity (CTD)</w:t>
      </w:r>
      <w:r w:rsidRPr="004348DA">
        <w:t xml:space="preserve"> highlights whether early Aadhaar enrollment (0–5 years) successfully transitions into school-age coverage (5–17 years).</w:t>
      </w:r>
    </w:p>
    <w:p w14:paraId="42A6BD55" w14:textId="77777777" w:rsidR="004348DA" w:rsidRPr="004348DA" w:rsidRDefault="004348DA" w:rsidP="00EB4A00">
      <w:pPr>
        <w:numPr>
          <w:ilvl w:val="0"/>
          <w:numId w:val="8"/>
        </w:numPr>
        <w:jc w:val="both"/>
      </w:pPr>
      <w:r w:rsidRPr="004348DA">
        <w:rPr>
          <w:b/>
          <w:bCs/>
        </w:rPr>
        <w:t>Adult Inclusion Gap (AIG)</w:t>
      </w:r>
      <w:r w:rsidRPr="004348DA">
        <w:t xml:space="preserve"> identifies whether early enrollment efforts translate into sustained Aadhaar inclusion in adulthood (18+ years).</w:t>
      </w:r>
    </w:p>
    <w:p w14:paraId="11BA33E2" w14:textId="77777777" w:rsidR="004348DA" w:rsidRPr="004348DA" w:rsidRDefault="004348DA" w:rsidP="00EB4A00">
      <w:pPr>
        <w:jc w:val="both"/>
      </w:pPr>
      <w:r w:rsidRPr="004348DA">
        <w:t xml:space="preserve">By analyzing both metrics independently, UIDAI can distinguish between </w:t>
      </w:r>
      <w:r w:rsidRPr="004348DA">
        <w:rPr>
          <w:b/>
          <w:bCs/>
        </w:rPr>
        <w:t>short-term transition issues</w:t>
      </w:r>
      <w:r w:rsidRPr="004348DA">
        <w:t xml:space="preserve"> and </w:t>
      </w:r>
      <w:r w:rsidRPr="004348DA">
        <w:rPr>
          <w:b/>
          <w:bCs/>
        </w:rPr>
        <w:t>long-term inclusion gaps</w:t>
      </w:r>
      <w:r w:rsidRPr="004348DA">
        <w:t>, enabling more precise and targeted interventions rather than one-size-fits-all enrollment drives.</w:t>
      </w:r>
    </w:p>
    <w:p w14:paraId="2F651BF3" w14:textId="77777777" w:rsidR="004348DA" w:rsidRPr="004348DA" w:rsidRDefault="00000000" w:rsidP="004348DA">
      <w:r>
        <w:pict w14:anchorId="3D1272B5">
          <v:rect id="_x0000_i1027" style="width:0;height:1.5pt" o:hralign="center" o:hrstd="t" o:hr="t" fillcolor="#a0a0a0" stroked="f"/>
        </w:pict>
      </w:r>
    </w:p>
    <w:p w14:paraId="54EE119E" w14:textId="4E454C5E" w:rsidR="004348DA" w:rsidRPr="004348DA" w:rsidRDefault="004348DA" w:rsidP="004348DA">
      <w:pPr>
        <w:rPr>
          <w:b/>
          <w:bCs/>
        </w:rPr>
      </w:pPr>
      <w:r w:rsidRPr="004348DA">
        <w:rPr>
          <w:b/>
          <w:bCs/>
        </w:rPr>
        <w:t xml:space="preserve">Policy-Relevant Insights </w:t>
      </w:r>
    </w:p>
    <w:p w14:paraId="4C26BA28" w14:textId="77777777" w:rsidR="004348DA" w:rsidRPr="004348DA" w:rsidRDefault="004348DA" w:rsidP="004348DA">
      <w:pPr>
        <w:numPr>
          <w:ilvl w:val="0"/>
          <w:numId w:val="9"/>
        </w:numPr>
      </w:pPr>
      <w:r w:rsidRPr="004348DA">
        <w:rPr>
          <w:b/>
          <w:bCs/>
        </w:rPr>
        <w:t>Early Enrollment ≠ Long-Term Inclusion</w:t>
      </w:r>
      <w:r w:rsidRPr="004348DA">
        <w:br/>
        <w:t>Several states demonstrate strong Aadhaar enrollment in the 0–5 age group but show significant drop-offs in adult enrollment. This indicates that early-child Aadhaar creation alone is insufficient without follow-up mechanisms.</w:t>
      </w:r>
    </w:p>
    <w:p w14:paraId="04C06F9F" w14:textId="77777777" w:rsidR="004348DA" w:rsidRPr="004348DA" w:rsidRDefault="004348DA" w:rsidP="004348DA">
      <w:pPr>
        <w:numPr>
          <w:ilvl w:val="0"/>
          <w:numId w:val="9"/>
        </w:numPr>
      </w:pPr>
      <w:r w:rsidRPr="004348DA">
        <w:rPr>
          <w:b/>
          <w:bCs/>
        </w:rPr>
        <w:t>School-Age Transition is a Critical Bottleneck</w:t>
      </w:r>
      <w:r w:rsidRPr="004348DA">
        <w:br/>
        <w:t>High Child Transition Disparity values suggest missed opportunities during school admissions, mid-day meal schemes, or scholarship enrollment stages where Aadhaar linkage could be reinforced.</w:t>
      </w:r>
    </w:p>
    <w:p w14:paraId="6586C721" w14:textId="77777777" w:rsidR="004348DA" w:rsidRPr="004348DA" w:rsidRDefault="004348DA" w:rsidP="004348DA">
      <w:pPr>
        <w:numPr>
          <w:ilvl w:val="0"/>
          <w:numId w:val="9"/>
        </w:numPr>
      </w:pPr>
      <w:r w:rsidRPr="004348DA">
        <w:rPr>
          <w:b/>
          <w:bCs/>
        </w:rPr>
        <w:t>Regional Differences Require Customized Strategies</w:t>
      </w:r>
      <w:r w:rsidRPr="004348DA">
        <w:br/>
        <w:t>Northeastern and smaller states show different disparity patterns compared to larger states, indicating that enrollment strategies must be region-specific rather than population-driven.</w:t>
      </w:r>
    </w:p>
    <w:p w14:paraId="02DD9E10" w14:textId="77777777" w:rsidR="00281E8D" w:rsidRDefault="00000000" w:rsidP="004348DA">
      <w:r>
        <w:pict w14:anchorId="07C75CB4">
          <v:rect id="_x0000_i1028" style="width:0;height:1.5pt" o:hralign="center" o:hrstd="t" o:hr="t" fillcolor="#a0a0a0" stroked="f"/>
        </w:pict>
      </w:r>
    </w:p>
    <w:p w14:paraId="6AE30339" w14:textId="77777777" w:rsidR="00281E8D" w:rsidRDefault="00281E8D" w:rsidP="004348DA"/>
    <w:p w14:paraId="629D4F4C" w14:textId="77777777" w:rsidR="00281E8D" w:rsidRDefault="00281E8D" w:rsidP="004348DA"/>
    <w:p w14:paraId="1125F70B" w14:textId="77777777" w:rsidR="00281E8D" w:rsidRDefault="00281E8D" w:rsidP="004348DA"/>
    <w:p w14:paraId="5830D211" w14:textId="77777777" w:rsidR="00281E8D" w:rsidRDefault="00281E8D" w:rsidP="004348DA"/>
    <w:p w14:paraId="324A828E" w14:textId="77777777" w:rsidR="00281E8D" w:rsidRDefault="00281E8D" w:rsidP="004348DA"/>
    <w:p w14:paraId="01765235" w14:textId="77777777" w:rsidR="00281E8D" w:rsidRDefault="00281E8D" w:rsidP="004348DA"/>
    <w:p w14:paraId="483475A6" w14:textId="6F7F4B3D" w:rsidR="004348DA" w:rsidRPr="00281E8D" w:rsidRDefault="004348DA" w:rsidP="004348DA">
      <w:r w:rsidRPr="004348DA">
        <w:rPr>
          <w:b/>
          <w:bCs/>
        </w:rPr>
        <w:lastRenderedPageBreak/>
        <w:t xml:space="preserve">Proposed Solution Framework </w:t>
      </w:r>
    </w:p>
    <w:p w14:paraId="1F92433D" w14:textId="72A97D3A" w:rsidR="004348DA" w:rsidRPr="004348DA" w:rsidRDefault="004348DA" w:rsidP="004348DA">
      <w:pPr>
        <w:rPr>
          <w:b/>
          <w:bCs/>
        </w:rPr>
      </w:pPr>
      <w:r>
        <w:rPr>
          <w:b/>
          <w:bCs/>
        </w:rPr>
        <w:t>1.</w:t>
      </w:r>
      <w:r w:rsidRPr="004348DA">
        <w:rPr>
          <w:b/>
          <w:bCs/>
        </w:rPr>
        <w:t xml:space="preserve"> Targeted Enrollment Interventions</w:t>
      </w:r>
    </w:p>
    <w:p w14:paraId="492A3E25" w14:textId="77777777" w:rsidR="004348DA" w:rsidRPr="004348DA" w:rsidRDefault="004348DA" w:rsidP="004348DA">
      <w:pPr>
        <w:numPr>
          <w:ilvl w:val="0"/>
          <w:numId w:val="10"/>
        </w:numPr>
      </w:pPr>
      <w:r w:rsidRPr="004348DA">
        <w:rPr>
          <w:b/>
          <w:bCs/>
        </w:rPr>
        <w:t>High CTD States</w:t>
      </w:r>
      <w:r w:rsidRPr="004348DA">
        <w:t>:</w:t>
      </w:r>
      <w:r w:rsidRPr="004348DA">
        <w:br/>
        <w:t>Integrate Aadhaar verification and update drives at schools during admissions, examinations, and scholarship registration periods.</w:t>
      </w:r>
    </w:p>
    <w:p w14:paraId="749EFA1D" w14:textId="77777777" w:rsidR="004348DA" w:rsidRPr="004348DA" w:rsidRDefault="004348DA" w:rsidP="004348DA">
      <w:pPr>
        <w:numPr>
          <w:ilvl w:val="0"/>
          <w:numId w:val="10"/>
        </w:numPr>
      </w:pPr>
      <w:r w:rsidRPr="004348DA">
        <w:rPr>
          <w:b/>
          <w:bCs/>
        </w:rPr>
        <w:t>High AIG States</w:t>
      </w:r>
      <w:r w:rsidRPr="004348DA">
        <w:t>:</w:t>
      </w:r>
      <w:r w:rsidRPr="004348DA">
        <w:br/>
        <w:t>Focus on adult enrollment through employment centers, welfare scheme onboarding, and mobile enrollment units.</w:t>
      </w:r>
    </w:p>
    <w:p w14:paraId="11EE213A" w14:textId="0B6BE713" w:rsidR="004348DA" w:rsidRPr="004348DA" w:rsidRDefault="004348DA" w:rsidP="004348DA">
      <w:pPr>
        <w:rPr>
          <w:b/>
          <w:bCs/>
        </w:rPr>
      </w:pPr>
      <w:r>
        <w:rPr>
          <w:b/>
          <w:bCs/>
        </w:rPr>
        <w:t xml:space="preserve">2. </w:t>
      </w:r>
      <w:r w:rsidRPr="004348DA">
        <w:rPr>
          <w:b/>
          <w:bCs/>
        </w:rPr>
        <w:t>Age-Specific Monitoring Dashboard</w:t>
      </w:r>
    </w:p>
    <w:p w14:paraId="777D56C1" w14:textId="77777777" w:rsidR="004348DA" w:rsidRPr="004348DA" w:rsidRDefault="004348DA" w:rsidP="004348DA">
      <w:r w:rsidRPr="004348DA">
        <w:t>UIDAI can operationalize this approach by:</w:t>
      </w:r>
    </w:p>
    <w:p w14:paraId="1E761C28" w14:textId="77777777" w:rsidR="004348DA" w:rsidRPr="004348DA" w:rsidRDefault="004348DA" w:rsidP="004348DA">
      <w:pPr>
        <w:numPr>
          <w:ilvl w:val="0"/>
          <w:numId w:val="11"/>
        </w:numPr>
      </w:pPr>
      <w:r w:rsidRPr="004348DA">
        <w:t xml:space="preserve">Maintaining a </w:t>
      </w:r>
      <w:r w:rsidRPr="004348DA">
        <w:rPr>
          <w:b/>
          <w:bCs/>
        </w:rPr>
        <w:t>state-wise age disparity dashboard</w:t>
      </w:r>
    </w:p>
    <w:p w14:paraId="3422EFB1" w14:textId="77777777" w:rsidR="004348DA" w:rsidRPr="004348DA" w:rsidRDefault="004348DA" w:rsidP="004348DA">
      <w:pPr>
        <w:numPr>
          <w:ilvl w:val="0"/>
          <w:numId w:val="11"/>
        </w:numPr>
      </w:pPr>
      <w:r w:rsidRPr="004348DA">
        <w:t>Tracking CTD and AIG annually</w:t>
      </w:r>
    </w:p>
    <w:p w14:paraId="3B5225E1" w14:textId="77777777" w:rsidR="004348DA" w:rsidRPr="004348DA" w:rsidRDefault="004348DA" w:rsidP="004348DA">
      <w:pPr>
        <w:numPr>
          <w:ilvl w:val="0"/>
          <w:numId w:val="11"/>
        </w:numPr>
      </w:pPr>
      <w:r w:rsidRPr="004348DA">
        <w:t>Flagging states that cross predefined disparity thresholds</w:t>
      </w:r>
    </w:p>
    <w:p w14:paraId="5983F4A4" w14:textId="32916F9D" w:rsidR="004348DA" w:rsidRPr="004348DA" w:rsidRDefault="004348DA" w:rsidP="004348DA">
      <w:pPr>
        <w:rPr>
          <w:b/>
          <w:bCs/>
        </w:rPr>
      </w:pPr>
      <w:r>
        <w:rPr>
          <w:b/>
          <w:bCs/>
        </w:rPr>
        <w:t>3.</w:t>
      </w:r>
      <w:r w:rsidRPr="004348DA">
        <w:rPr>
          <w:b/>
          <w:bCs/>
        </w:rPr>
        <w:t xml:space="preserve"> Policy Feedback Loop</w:t>
      </w:r>
    </w:p>
    <w:p w14:paraId="364D117E" w14:textId="77777777" w:rsidR="004348DA" w:rsidRPr="004348DA" w:rsidRDefault="004348DA" w:rsidP="004348DA">
      <w:pPr>
        <w:numPr>
          <w:ilvl w:val="0"/>
          <w:numId w:val="12"/>
        </w:numPr>
      </w:pPr>
      <w:r w:rsidRPr="004348DA">
        <w:t>States showing persistent high disparity can be prioritized for:</w:t>
      </w:r>
    </w:p>
    <w:p w14:paraId="45A4E76A" w14:textId="77777777" w:rsidR="004348DA" w:rsidRPr="004348DA" w:rsidRDefault="004348DA" w:rsidP="004348DA">
      <w:pPr>
        <w:numPr>
          <w:ilvl w:val="1"/>
          <w:numId w:val="12"/>
        </w:numPr>
      </w:pPr>
      <w:r w:rsidRPr="004348DA">
        <w:t>Awareness campaigns</w:t>
      </w:r>
    </w:p>
    <w:p w14:paraId="624EA2C6" w14:textId="77777777" w:rsidR="004348DA" w:rsidRPr="004348DA" w:rsidRDefault="004348DA" w:rsidP="004348DA">
      <w:pPr>
        <w:numPr>
          <w:ilvl w:val="1"/>
          <w:numId w:val="12"/>
        </w:numPr>
      </w:pPr>
      <w:r w:rsidRPr="004348DA">
        <w:t>Administrative audits</w:t>
      </w:r>
    </w:p>
    <w:p w14:paraId="3C8FABC9" w14:textId="2B96209B" w:rsidR="004348DA" w:rsidRDefault="004348DA" w:rsidP="00281E8D">
      <w:pPr>
        <w:numPr>
          <w:ilvl w:val="1"/>
          <w:numId w:val="12"/>
        </w:numPr>
      </w:pPr>
      <w:r w:rsidRPr="004348DA">
        <w:t>Process simplification for Aadhaar updates</w:t>
      </w:r>
    </w:p>
    <w:p w14:paraId="66680267" w14:textId="77777777" w:rsidR="00281E8D" w:rsidRDefault="00281E8D" w:rsidP="00281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AF4377F" w14:textId="77777777" w:rsidR="00281E8D" w:rsidRDefault="00281E8D" w:rsidP="00281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33963B4" w14:textId="3F31220E" w:rsidR="00281E8D" w:rsidRPr="00281E8D" w:rsidRDefault="00281E8D" w:rsidP="00281E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81E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Code &amp; Reproducibility</w:t>
      </w:r>
    </w:p>
    <w:p w14:paraId="5BB2D458" w14:textId="72360A1D" w:rsidR="00281E8D" w:rsidRPr="00281E8D" w:rsidRDefault="00281E8D" w:rsidP="00281E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1E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Repository:</w:t>
      </w:r>
      <w:r w:rsidRPr="00281E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B42936" w:rsidRPr="00B429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https://github.com/Bhushan0455/Age-Disparity-Index</w:t>
      </w:r>
    </w:p>
    <w:p w14:paraId="3B91A1EF" w14:textId="77777777" w:rsidR="00281E8D" w:rsidRDefault="00281E8D" w:rsidP="00281E8D"/>
    <w:p w14:paraId="3D90DF7B" w14:textId="6D802C7E" w:rsidR="004348DA" w:rsidRPr="004348DA" w:rsidRDefault="004348DA">
      <w:pPr>
        <w:rPr>
          <w:b/>
          <w:bCs/>
        </w:rPr>
      </w:pPr>
      <w:r w:rsidRPr="004348DA">
        <w:rPr>
          <w:b/>
          <w:bCs/>
        </w:rPr>
        <w:t>Conclusion</w:t>
      </w:r>
      <w:r>
        <w:rPr>
          <w:b/>
          <w:bCs/>
        </w:rPr>
        <w:t>:</w:t>
      </w:r>
    </w:p>
    <w:p w14:paraId="74DB2E5B" w14:textId="0F2697D4" w:rsidR="004348DA" w:rsidRDefault="00EB4A00" w:rsidP="00EB4A00">
      <w:pPr>
        <w:jc w:val="both"/>
      </w:pPr>
      <w:r w:rsidRPr="00EB4A00">
        <w:t>This study demonstrates that age-wise disparity analysis provides deeper insight into Aadhaar enrollment effectiveness than aggregate metrics alone. The dual-metric framework enables UIDAI to identify specific transition gaps and implement targeted, data-driven enrollment strategies, reinforcing Aadhaar’s role as a lifelong and inclusive identity system.</w:t>
      </w:r>
    </w:p>
    <w:sectPr w:rsidR="004348DA" w:rsidSect="00170815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DCE"/>
    <w:multiLevelType w:val="multilevel"/>
    <w:tmpl w:val="C4C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63802"/>
    <w:multiLevelType w:val="multilevel"/>
    <w:tmpl w:val="C248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C263C"/>
    <w:multiLevelType w:val="multilevel"/>
    <w:tmpl w:val="241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65655"/>
    <w:multiLevelType w:val="multilevel"/>
    <w:tmpl w:val="911C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454B1"/>
    <w:multiLevelType w:val="multilevel"/>
    <w:tmpl w:val="91A2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A7661"/>
    <w:multiLevelType w:val="multilevel"/>
    <w:tmpl w:val="6FDA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E7494"/>
    <w:multiLevelType w:val="multilevel"/>
    <w:tmpl w:val="27AE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92142"/>
    <w:multiLevelType w:val="multilevel"/>
    <w:tmpl w:val="1680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B7685"/>
    <w:multiLevelType w:val="multilevel"/>
    <w:tmpl w:val="318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F10BC"/>
    <w:multiLevelType w:val="multilevel"/>
    <w:tmpl w:val="81EA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F2551"/>
    <w:multiLevelType w:val="multilevel"/>
    <w:tmpl w:val="836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D32C0"/>
    <w:multiLevelType w:val="multilevel"/>
    <w:tmpl w:val="7962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163E4"/>
    <w:multiLevelType w:val="multilevel"/>
    <w:tmpl w:val="E2E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99364">
    <w:abstractNumId w:val="4"/>
  </w:num>
  <w:num w:numId="2" w16cid:durableId="1793327411">
    <w:abstractNumId w:val="10"/>
  </w:num>
  <w:num w:numId="3" w16cid:durableId="1246955164">
    <w:abstractNumId w:val="3"/>
  </w:num>
  <w:num w:numId="4" w16cid:durableId="112753953">
    <w:abstractNumId w:val="9"/>
  </w:num>
  <w:num w:numId="5" w16cid:durableId="2132556201">
    <w:abstractNumId w:val="5"/>
  </w:num>
  <w:num w:numId="6" w16cid:durableId="1501313381">
    <w:abstractNumId w:val="6"/>
  </w:num>
  <w:num w:numId="7" w16cid:durableId="1075394334">
    <w:abstractNumId w:val="2"/>
  </w:num>
  <w:num w:numId="8" w16cid:durableId="54664707">
    <w:abstractNumId w:val="8"/>
  </w:num>
  <w:num w:numId="9" w16cid:durableId="751854427">
    <w:abstractNumId w:val="1"/>
  </w:num>
  <w:num w:numId="10" w16cid:durableId="631787263">
    <w:abstractNumId w:val="12"/>
  </w:num>
  <w:num w:numId="11" w16cid:durableId="364451679">
    <w:abstractNumId w:val="7"/>
  </w:num>
  <w:num w:numId="12" w16cid:durableId="709496790">
    <w:abstractNumId w:val="11"/>
  </w:num>
  <w:num w:numId="13" w16cid:durableId="197460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815"/>
    <w:rsid w:val="00170815"/>
    <w:rsid w:val="00281E8D"/>
    <w:rsid w:val="003C3EED"/>
    <w:rsid w:val="004348DA"/>
    <w:rsid w:val="00965EFE"/>
    <w:rsid w:val="00967BB4"/>
    <w:rsid w:val="00977A7C"/>
    <w:rsid w:val="009F32CC"/>
    <w:rsid w:val="00B42936"/>
    <w:rsid w:val="00DF388A"/>
    <w:rsid w:val="00EB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CDA8F"/>
  <w15:chartTrackingRefBased/>
  <w15:docId w15:val="{D3878F1C-ADB9-45B0-8935-B2BADBE6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0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1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1E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1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8F2D0-9D07-47F8-BCCC-A013E0965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29_Bhushan Parab</dc:creator>
  <cp:keywords/>
  <dc:description/>
  <cp:lastModifiedBy>29_Bhushan Parab</cp:lastModifiedBy>
  <cp:revision>4</cp:revision>
  <dcterms:created xsi:type="dcterms:W3CDTF">2026-01-19T14:15:00Z</dcterms:created>
  <dcterms:modified xsi:type="dcterms:W3CDTF">2026-01-19T15:18:00Z</dcterms:modified>
</cp:coreProperties>
</file>