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yrd7bigbiut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ONE-PAGE VISION NOTE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(Use for Collector briefings, CSR decks, and introductions)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8awo45vqena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Dhamma Village – Vision Note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Dhamma Village is a rural community development initiative designed to address long-term mental well-being and social cohesion through preventive, non-clinical means. The project integrates disciplined living, ethical conduct, and community responsibility into everyday rural life rather than treating mental well-being as a short-term or institutional intervention.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initiative operates on the principle that stable behavior and social harmony emerge from structured environments and consistent routines, not from one-time programs or reactive systems. Dhamma Village therefore creates a permanent living ecosystem where individuals continue their normal livelihoods while participating in daily mental discipline practices, shared responsibilities, and community-based activities.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model is non-religious, non-political, and non-commercial. It is inclusive and accessible, particularly for rural and underprivileged populations who lack sustained access to mental well-being resources. Infrastructure is intentionally simple and low-cost, emphasizing self-sufficiency through agriculture, sustainable energy, and collective living.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Dhamma Village is implemented by a Public Charitable Trust with transparent governance and is designed for convergence with government schemes and CSR support. The objective is not dependency on funding, but the creation of a stable, self-operating community system that continues after initial support.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By focusing on prevention rather than correction, Dhamma Village aims to reduce long-term social stress, improve ethical conduct, strengthen community bonds, and offer a replicable model for rural mental well-being and development.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uh9g3hl65r9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FINAL INSTRUCTION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two texts are now: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DPR-ready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Collector-ready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CSR-ready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Legally safe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