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z4z15u9y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CSR PITCH DECK (10 SLIDES, BOARD-READY)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exactly as slide content.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 fluff visuals.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q9t2fxj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—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Dhamma Village Initiative</w:t>
        <w:br w:type="textWrapping"/>
      </w:r>
      <w:r w:rsidDel="00000000" w:rsidR="00000000" w:rsidRPr="00000000">
        <w:rPr>
          <w:rtl w:val="0"/>
        </w:rPr>
        <w:t xml:space="preserve"> A Preventive Mental Health &amp; Ethical Living Model for Rural India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by: [Trust / Section 8 Name]</w:t>
        <w:br w:type="textWrapping"/>
        <w:t xml:space="preserve"> CSR Alignment: Schedule VII, Companies Act 2013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0geb7rmer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— The Problem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mental stress, addiction, and social conflict in rural communities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sustained access to mental well-being tools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interventions fail to create behavioral change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Government systems treat symptoms, not causes.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dvz67wvt9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— The Gap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retreats are temporary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 are reactive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 run events, not ecosystems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Missing:</w:t>
      </w:r>
      <w:r w:rsidDel="00000000" w:rsidR="00000000" w:rsidRPr="00000000">
        <w:rPr>
          <w:rtl w:val="0"/>
        </w:rPr>
        <w:t xml:space="preserve"> A permanent, low-cost, preventive mental health environment.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qku2h5hzh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— The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Dhamma Village</w:t>
        <w:br w:type="textWrapping"/>
      </w:r>
      <w:r w:rsidDel="00000000" w:rsidR="00000000" w:rsidRPr="00000000">
        <w:rPr>
          <w:rtl w:val="0"/>
        </w:rPr>
        <w:t xml:space="preserve"> A permanent rural settlement where: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Meditation is practiced daily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living is cultivated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and spiritual growth coexist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retreat, not a religious institution, not a charity camp.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dikvrztw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— What Makes This Work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Vipassana methodology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infrastructure, low operating cost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Community-embedded model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dependency on continuous donations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impact, low burn rate.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e6bagaqy1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— CSR Alignment (Schedule VII)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Eligible CSR categories: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Promoting mental health &amp; well-being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development projects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life-skills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sustainability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Aligned with </w:t>
      </w:r>
      <w:r w:rsidDel="00000000" w:rsidR="00000000" w:rsidRPr="00000000">
        <w:rPr>
          <w:b w:val="1"/>
          <w:bCs w:val="1"/>
          <w:rtl w:val="0"/>
        </w:rPr>
        <w:t xml:space="preserve">Ministry of Corporate Affairs</w:t>
      </w:r>
      <w:r w:rsidDel="00000000" w:rsidR="00000000" w:rsidRPr="00000000">
        <w:rPr>
          <w:rtl w:val="0"/>
        </w:rPr>
        <w:t xml:space="preserve"> CSR guidelines.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ee8sqxzts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— Beneficiaries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Rural &amp; underprivileged villagers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Practicing meditators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Monks &amp; Dhamma teachers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Indirect beneficiaries:</w:t>
      </w:r>
      <w:r w:rsidDel="00000000" w:rsidR="00000000" w:rsidRPr="00000000">
        <w:rPr>
          <w:rtl w:val="0"/>
        </w:rPr>
        <w:t xml:space="preserve"> Families, schools, local governance.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yex4ozozy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— Budget Snapshot (1 Village)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Cost: ₹1.6–2.1 crore (one-time)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OPEX (Year 1–2): ₹25 lakh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OPEX (Post-stabilization): ₹12–15 lakh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 funding required mainly in </w:t>
      </w:r>
      <w:r w:rsidDel="00000000" w:rsidR="00000000" w:rsidRPr="00000000">
        <w:rPr>
          <w:b w:val="1"/>
          <w:bCs w:val="1"/>
          <w:rtl w:val="0"/>
        </w:rPr>
        <w:t xml:space="preserve">capital + first 24 months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mdng139s9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— Impact &amp; Measurement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active daily meditators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of practice (6–12 months)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indicators (conflict reduction, discipline)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participation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quarterly. Reported annually.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n1glk44q9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 — Why Fund This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Preventive mental health &gt; curative cost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visibility without recurring liability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Ethical, non-commercial, non-political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national model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legacy funding, not expense funding.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