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WiFi-CSI Based Human Activity and Fall Detection System</w:t>
      </w:r>
    </w:p>
    <w:p>
      <w:pPr>
        <w:pStyle w:val="Heading1"/>
        <w:spacing w:after="160" w:before="320"/>
      </w:pPr>
      <w:r>
        <w:t xml:space="preserve">Abstract</w:t>
      </w:r>
    </w:p>
    <w:p>
      <w:pPr>
        <w:spacing w:after="160"/>
      </w:pPr>
      <w:r>
        <w:t xml:space="preserve">This report presents a contactless human activity and fall detection system built using WiFi Channel State Information (CSI) extracted from commodity ESP32 WROOM-32 hardware. Using a single ESP32 configured to receive CSI from ping replies routed through a standard home WiFi router (</w:t>
      </w:r>
      <w:r>
        <w:rPr>
          <w:rFonts w:ascii="Consolas" w:cs="Consolas" w:eastAsia="Consolas" w:hAnsi="Consolas"/>
          <w:color w:val="AE2E24"/>
          <w:sz w:val="20"/>
          <w:szCs w:val="20"/>
          <w:shd w:fill="F1F1F1" w:val="clear"/>
        </w:rPr>
        <w:t xml:space="preserve">csi_recv_router</w:t>
      </w:r>
      <w:r>
        <w:t xml:space="preserve">, Espressif ESP-IDF v5.5.5), amplitude-based statistical features were extracted from a labeled CSI dataset spanning seven activity classes: empty room, falling, walking, sitting/standing, lying down, running, and bending. The initial three-class system (583 samples) achieved 84.25% test accuracy with a Random Forest classifier. Following an expansion to seven classes (805 samples after filtering), the retrained Random Forest achieved 74.75% test accuracy (SVM: 71.29%) — a lower but expected result given the harder multi-class problem and a strong class-size imbalance between the original three classes (139–229 samples each) and the four newly added ones (37–47 samples each). An exploratory occupancy-detection prototype (empty vs. one person vs. two people present) was then added, revealing a cross-confusion between static activity states and static occupancy states — most notably </w:t>
      </w:r>
      <w:r>
        <w:rPr>
          <w:rFonts w:ascii="Consolas" w:cs="Consolas" w:eastAsia="Consolas" w:hAnsi="Consolas"/>
          <w:color w:val="AE2E24"/>
          <w:sz w:val="20"/>
          <w:szCs w:val="20"/>
          <w:shd w:fill="F1F1F1" w:val="clear"/>
        </w:rPr>
        <w:t xml:space="preserve">lying_down</w:t>
      </w:r>
      <w:r>
        <w:t xml:space="preserve">'s recall collapsing to 0.10 — which suggests occupancy and activity are better served as two separate classifiers rather than one merged label set. Beyond the machine learning pipeline, this project surfaced a series of real-world engineering constraints — Windows-specific serial encoding failures, DHCP IP reassignment, WiFi power-save interference, router-side ICMP rate limiting, and a timestamp-collision bug during batch data processing — that shaped both the data collection methodology and the practical limits of live validation. These findings are documented here as they represent a substantial portion of the engineering effort and offer insight for future work in commodity WiFi sensing.</w:t>
      </w:r>
    </w:p>
    <w:p>
      <w:pPr>
        <w:pStyle w:val="Heading1"/>
        <w:spacing w:after="160" w:before="320"/>
      </w:pPr>
      <w:r>
        <w:t xml:space="preserve">1. Introduction</w:t>
      </w:r>
    </w:p>
    <w:p>
      <w:pPr>
        <w:spacing w:after="160"/>
      </w:pPr>
      <w:r>
        <w:t xml:space="preserve">Human activity recognition (HAR) and fall detection are critical for elderly care, remote patient monitoring, and smart home safety systems. Traditional approaches rely on wearable sensors (accelerometers, gyroscopes) or camera-based vision systems. Wearables require the user to consistently wear a device, which is often impractical for elderly users or during sleep. Camera-based systems raise privacy concerns and are unreliable in low-light or obstructed conditions.</w:t>
      </w:r>
    </w:p>
    <w:p>
      <w:pPr>
        <w:spacing w:after="160"/>
      </w:pPr>
      <w:r>
        <w:t xml:space="preserve">WiFi Channel State Information (CSI) offers a contactless, privacy-preserving alternative. As a person moves through a WiFi signal's propagation path, they cause measurable changes in the amplitude and phase of the channel — changes that can be captured by commodity WiFi hardware without any special sensors, cameras, or wearables. This project explores the feasibility of a low-cost, ESP32-based CSI sensing system, beginning with three states — an empty room, a person walking, and a person falling — and later expanded to a total of seven: empty, falling, walking, sitting/standing, lying down, running, and bending.</w:t>
      </w:r>
    </w:p>
    <w:p>
      <w:pPr>
        <w:pStyle w:val="Heading1"/>
        <w:spacing w:after="160" w:before="320"/>
      </w:pPr>
      <w:r>
        <w:t xml:space="preserve">2. Related Work</w:t>
      </w:r>
    </w:p>
    <w:p>
      <w:pPr>
        <w:spacing w:after="160"/>
      </w:pPr>
      <w:r>
        <w:t>This project builds on Espressif's esp-csi toolkit [2] and its csi_recv_router example, which extracts CSI from a commodity ESP32 connected to a home router. Broader work in WiFi-based activity sensing has explored CSI captured from both specialized research hardware and commodity WiFi chipsets [1]; this project adopts the latter approach, using an ESP32 WROOM-32 module to keep the system low-cost and easily reproducible. Classification uses the SVM and Random Forest implementations of scikit-learn [3].</w:t>
      </w:r>
    </w:p>
    <w:p>
      <w:pPr>
        <w:pStyle w:val="Heading1"/>
        <w:spacing w:after="160" w:before="320"/>
      </w:pPr>
      <w:r>
        <w:t xml:space="preserve">3. System Architecture</w:t>
      </w:r>
    </w:p>
    <w:p>
      <w:pPr>
        <w:pStyle w:val="Heading2"/>
        <w:spacing w:after="120" w:before="240"/>
      </w:pPr>
      <w:r>
        <w:t xml:space="preserve">3.1 Hardware</w:t>
      </w:r>
    </w:p>
    <w:p>
      <w:pPr>
        <w:pStyle w:val="ListParagraph"/>
        <w:numPr>
          <w:ilvl w:val="0"/>
          <w:numId w:val="1"/>
        </w:numPr>
        <w:spacing w:after="80"/>
      </w:pPr>
      <w:r>
        <w:t xml:space="preserve">1× ESP32 WROOM-32 (Type-C) — used as the CSI receiver in the deployed system</w:t>
      </w:r>
    </w:p>
    <w:p>
      <w:pPr>
        <w:pStyle w:val="ListParagraph"/>
        <w:numPr>
          <w:ilvl w:val="0"/>
          <w:numId w:val="1"/>
        </w:numPr>
        <w:spacing w:after="80"/>
      </w:pPr>
      <w:r>
        <w:t xml:space="preserve">2.4GHz home WiFi router — functions as the effective transmitter, replying to the ESP32's internally-generated ping stream (see Section 9.3)</w:t>
      </w:r>
    </w:p>
    <w:p>
      <w:pPr>
        <w:pStyle w:val="ListParagraph"/>
        <w:numPr>
          <w:ilvl w:val="0"/>
          <w:numId w:val="1"/>
        </w:numPr>
        <w:spacing w:after="80"/>
      </w:pPr>
      <w:r>
        <w:t xml:space="preserve">Windows laptop for firmware flashing, data logging, and model training</w:t>
      </w:r>
    </w:p>
    <w:p>
      <w:pPr>
        <w:spacing w:after="160"/>
      </w:pPr>
      <w:r>
        <w:t xml:space="preserve">A second ESP32 WROOM-32 board is available but was not used in the current system; it is only relevant to the ESP-NOW-based alternative architecture discussed in Sections 9.6 and 10.</w:t>
      </w:r>
    </w:p>
    <w:p>
      <w:pPr>
        <w:pStyle w:val="Heading2"/>
        <w:spacing w:after="120" w:before="240"/>
      </w:pPr>
      <w:r>
        <w:t xml:space="preserve">3.2 Software Environment</w:t>
      </w:r>
    </w:p>
    <w:p>
      <w:pPr>
        <w:pStyle w:val="ListParagraph"/>
        <w:numPr>
          <w:ilvl w:val="0"/>
          <w:numId w:val="1"/>
        </w:numPr>
        <w:spacing w:after="80"/>
      </w:pPr>
      <w:r>
        <w:rPr>
          <w:b/>
          <w:bCs/>
        </w:rPr>
        <w:t xml:space="preserve">Firmware:</w:t>
      </w:r>
      <w:r>
        <w:t xml:space="preserve"> ESP-IDF v5.5.5, using Espressif's official </w:t>
      </w:r>
      <w:r>
        <w:rPr>
          <w:rFonts w:ascii="Consolas" w:cs="Consolas" w:eastAsia="Consolas" w:hAnsi="Consolas"/>
          <w:color w:val="AE2E24"/>
          <w:sz w:val="20"/>
          <w:szCs w:val="20"/>
          <w:shd w:fill="F1F1F1" w:val="clear"/>
        </w:rPr>
        <w:t xml:space="preserve">espressif/esp-csi</w:t>
      </w:r>
      <w:r>
        <w:t xml:space="preserve"> repository, specifically the </w:t>
      </w:r>
      <w:r>
        <w:rPr>
          <w:rFonts w:ascii="Consolas" w:cs="Consolas" w:eastAsia="Consolas" w:hAnsi="Consolas"/>
          <w:color w:val="AE2E24"/>
          <w:sz w:val="20"/>
          <w:szCs w:val="20"/>
          <w:shd w:fill="F1F1F1" w:val="clear"/>
        </w:rPr>
        <w:t xml:space="preserve">csi_recv_router</w:t>
      </w:r>
      <w:r>
        <w:t xml:space="preserve"> example. This example connects the ESP32 to the home router as a WiFi station and extracts CSI from the router's replies to an internally-generated ping stream (see Section 9.3).</w:t>
      </w:r>
    </w:p>
    <w:p>
      <w:pPr>
        <w:pStyle w:val="ListParagraph"/>
        <w:numPr>
          <w:ilvl w:val="0"/>
          <w:numId w:val="1"/>
        </w:numPr>
        <w:spacing w:after="80"/>
      </w:pPr>
      <w:r>
        <w:rPr>
          <w:b/>
          <w:bCs/>
        </w:rPr>
        <w:t xml:space="preserve">Data processing / ML:</w:t>
      </w:r>
      <w:r>
        <w:t xml:space="preserve"> Python 3.11.2, with pandas, numpy, scipy, scikit-learn, matplotlib, and joblib.</w:t>
      </w:r>
    </w:p>
    <w:p>
      <w:pPr>
        <w:spacing w:after="160"/>
      </w:pPr>
      <w:r>
        <w:t xml:space="preserve">The system deliberately avoids the ESP-NOW-based two-ESP32 direct link (</w:t>
      </w:r>
      <w:r>
        <w:rPr>
          <w:rFonts w:ascii="Consolas" w:cs="Consolas" w:eastAsia="Consolas" w:hAnsi="Consolas"/>
          <w:color w:val="AE2E24"/>
          <w:sz w:val="20"/>
          <w:szCs w:val="20"/>
          <w:shd w:fill="F1F1F1" w:val="clear"/>
        </w:rPr>
        <w:t xml:space="preserve">csi_send</w:t>
      </w:r>
      <w:r>
        <w:t xml:space="preserve">/</w:t>
      </w:r>
      <w:r>
        <w:rPr>
          <w:rFonts w:ascii="Consolas" w:cs="Consolas" w:eastAsia="Consolas" w:hAnsi="Consolas"/>
          <w:color w:val="AE2E24"/>
          <w:sz w:val="20"/>
          <w:szCs w:val="20"/>
          <w:shd w:fill="F1F1F1" w:val="clear"/>
        </w:rPr>
        <w:t xml:space="preserve">csi_recv</w:t>
      </w:r>
      <w:r>
        <w:t xml:space="preserve">) architecture in favor of router-based CSI, trading some control over packet timing for a simpler single-board deployment that doesn't require two boards to be co-located during every capture.</w:t>
      </w:r>
    </w:p>
    <w:p>
      <w:pPr>
        <w:pStyle w:val="Heading1"/>
        <w:spacing w:after="160" w:before="320"/>
      </w:pPr>
      <w:r>
        <w:t xml:space="preserve">4. Data Collection Methodology</w:t>
      </w:r>
    </w:p>
    <w:p>
      <w:pPr>
        <w:pStyle w:val="Heading2"/>
        <w:spacing w:after="120" w:before="240"/>
      </w:pPr>
      <w:r>
        <w:t xml:space="preserve">4.1 Proven Workflow</w:t>
      </w:r>
    </w:p>
    <w:p>
      <w:pPr>
        <w:spacing w:after="160"/>
      </w:pPr>
      <w:r>
        <w:t xml:space="preserve">Data was collected using the following manual process:</w:t>
      </w:r>
    </w:p>
    <w:p>
      <w:pPr>
        <w:spacing w:after="80"/>
      </w:pPr>
      <w:r>
        <w:t xml:space="preserve">1. </w:t>
      </w:r>
      <w:r>
        <w:t xml:space="preserve">Start </w:t>
      </w:r>
      <w:r>
        <w:rPr>
          <w:rFonts w:ascii="Consolas" w:cs="Consolas" w:eastAsia="Consolas" w:hAnsi="Consolas"/>
          <w:color w:val="AE2E24"/>
          <w:sz w:val="20"/>
          <w:szCs w:val="20"/>
          <w:shd w:fill="F1F1F1" w:val="clear"/>
        </w:rPr>
        <w:t xml:space="preserve">idf.py -p COM6 monitor</w:t>
      </w:r>
      <w:r>
        <w:t xml:space="preserve"> to stream live CSI output from the ESP32.</w:t>
      </w:r>
    </w:p>
    <w:p>
      <w:pPr>
        <w:spacing w:after="80"/>
      </w:pPr>
      <w:r>
        <w:t xml:space="preserve">2. </w:t>
      </w:r>
      <w:r>
        <w:t xml:space="preserve">Perform one activity (empty room / walking / falling) while the monitor captures </w:t>
      </w:r>
      <w:r>
        <w:rPr>
          <w:rFonts w:ascii="Consolas" w:cs="Consolas" w:eastAsia="Consolas" w:hAnsi="Consolas"/>
          <w:color w:val="AE2E24"/>
          <w:sz w:val="20"/>
          <w:szCs w:val="20"/>
          <w:shd w:fill="F1F1F1" w:val="clear"/>
        </w:rPr>
        <w:t xml:space="preserve">CSI_DATA</w:t>
      </w:r>
      <w:r>
        <w:t xml:space="preserve"> lines.</w:t>
      </w:r>
    </w:p>
    <w:p>
      <w:pPr>
        <w:spacing w:after="80"/>
      </w:pPr>
      <w:r>
        <w:t xml:space="preserve">3. </w:t>
      </w:r>
      <w:r>
        <w:t xml:space="preserve">Manually select and copy the relevant </w:t>
      </w:r>
      <w:r>
        <w:rPr>
          <w:rFonts w:ascii="Consolas" w:cs="Consolas" w:eastAsia="Consolas" w:hAnsi="Consolas"/>
          <w:color w:val="AE2E24"/>
          <w:sz w:val="20"/>
          <w:szCs w:val="20"/>
          <w:shd w:fill="F1F1F1" w:val="clear"/>
        </w:rPr>
        <w:t xml:space="preserve">CSI_DATA</w:t>
      </w:r>
      <w:r>
        <w:t xml:space="preserve"> lines from the terminal.</w:t>
      </w:r>
    </w:p>
    <w:p>
      <w:pPr>
        <w:spacing w:after="80"/>
      </w:pPr>
      <w:r>
        <w:t xml:space="preserve">4. </w:t>
      </w:r>
      <w:r>
        <w:t xml:space="preserve">Paste into Notepad and save as a </w:t>
      </w:r>
      <w:r>
        <w:rPr>
          <w:rFonts w:ascii="Consolas" w:cs="Consolas" w:eastAsia="Consolas" w:hAnsi="Consolas"/>
          <w:color w:val="AE2E24"/>
          <w:sz w:val="20"/>
          <w:szCs w:val="20"/>
          <w:shd w:fill="F1F1F1" w:val="clear"/>
        </w:rPr>
        <w:t xml:space="preserve">.txt</w:t>
      </w:r>
      <w:r>
        <w:t xml:space="preserve"> file with explicit UTF-8 encoding.</w:t>
      </w:r>
    </w:p>
    <w:p>
      <w:pPr>
        <w:spacing w:after="80"/>
      </w:pPr>
      <w:r>
        <w:t xml:space="preserve">5. </w:t>
      </w:r>
      <w:r>
        <w:t xml:space="preserve">Process the file with </w:t>
      </w:r>
      <w:r>
        <w:rPr>
          <w:rFonts w:ascii="Consolas" w:cs="Consolas" w:eastAsia="Consolas" w:hAnsi="Consolas"/>
          <w:color w:val="AE2E24"/>
          <w:sz w:val="20"/>
          <w:szCs w:val="20"/>
          <w:shd w:fill="F1F1F1" w:val="clear"/>
        </w:rPr>
        <w:t xml:space="preserve">parse_csi_log.py &lt;file.txt&gt; &lt;label&gt;</w:t>
      </w:r>
      <w:r>
        <w:t xml:space="preserve"> to produce a labeled CSV.</w:t>
      </w:r>
    </w:p>
    <w:p>
      <w:pPr>
        <w:pStyle w:val="Heading2"/>
        <w:spacing w:after="120" w:before="240"/>
      </w:pPr>
      <w:r>
        <w:t xml:space="preserve">4.2 Abandoned Automated Approaches</w:t>
      </w:r>
    </w:p>
    <w:p>
      <w:pPr>
        <w:spacing w:after="160"/>
      </w:pPr>
      <w:r>
        <w:t xml:space="preserve">Two automated capture methods were attempted and abandoned after repeated, unresolved Windows-specific failures:</w:t>
      </w:r>
    </w:p>
    <w:p>
      <w:pPr>
        <w:pStyle w:val="ListParagraph"/>
        <w:numPr>
          <w:ilvl w:val="0"/>
          <w:numId w:val="1"/>
        </w:numPr>
        <w:spacing w:after="80"/>
      </w:pPr>
      <w:r>
        <w:rPr>
          <w:b/>
          <w:bCs/>
        </w:rPr>
        <w:t xml:space="preserve">Direct pyserial capture:</w:t>
      </w:r>
      <w:r>
        <w:t xml:space="preserve"> hit DTR/RTS reset issues that interfered with reliable data capture.</w:t>
      </w:r>
    </w:p>
    <w:p>
      <w:pPr>
        <w:pStyle w:val="ListParagraph"/>
        <w:numPr>
          <w:ilvl w:val="0"/>
          <w:numId w:val="1"/>
        </w:numPr>
        <w:spacing w:after="80"/>
      </w:pPr>
      <w:r>
        <w:rPr>
          <w:b/>
          <w:bCs/>
        </w:rPr>
        <w:t xml:space="preserve">Live subprocess-piping of `idf.py monitor`:</w:t>
      </w:r>
      <w:r>
        <w:t xml:space="preserve"> repeatedly failed due to </w:t>
      </w:r>
      <w:r>
        <w:rPr>
          <w:rFonts w:ascii="Consolas" w:cs="Consolas" w:eastAsia="Consolas" w:hAnsi="Consolas"/>
          <w:color w:val="AE2E24"/>
          <w:sz w:val="20"/>
          <w:szCs w:val="20"/>
          <w:shd w:fill="F1F1F1" w:val="clear"/>
        </w:rPr>
        <w:t xml:space="preserve">cp1252</w:t>
      </w:r>
      <w:r>
        <w:t xml:space="preserve"> encoding crashes and UTF-16 BOM/seek conflicts in </w:t>
      </w:r>
      <w:r>
        <w:rPr>
          <w:rFonts w:ascii="Consolas" w:cs="Consolas" w:eastAsia="Consolas" w:hAnsi="Consolas"/>
          <w:color w:val="AE2E24"/>
          <w:sz w:val="20"/>
          <w:szCs w:val="20"/>
          <w:shd w:fill="F1F1F1" w:val="clear"/>
        </w:rPr>
        <w:t xml:space="preserve">idf_monitor</w:t>
      </w:r>
      <w:r>
        <w:t xml:space="preserve">, both stemming from Windows' default text encoding behavior differing from the UTF-8 the toolchain expects.</w:t>
      </w:r>
    </w:p>
    <w:p>
      <w:pPr>
        <w:spacing w:after="160"/>
      </w:pPr>
      <w:r>
        <w:t xml:space="preserve">The manual copy-paste workflow, while more labor-intensive, proved to be the only reliable method under these constraints and was used for all 583 samples in the original three-class dataset.</w:t>
      </w:r>
    </w:p>
    <w:p>
      <w:pPr>
        <w:pStyle w:val="Heading2"/>
        <w:spacing w:after="120" w:before="240"/>
      </w:pPr>
      <w:r>
        <w:t xml:space="preserve">4.3 Reset-Cycle Collection for Expanded Classes</w:t>
      </w:r>
    </w:p>
    <w:p>
      <w:pPr>
        <w:spacing w:after="160"/>
      </w:pPr>
      <w:r>
        <w:t xml:space="preserve">When the dataset was expanded to four additional classes (sitting/standing, lying down, running, bending), a further constraint was identified: the home router enforces a hard cap of roughly 2–3 CSI replies per connection session, regardless of ping frequency (see Section 9.5). Waiting longer within a single session did not increase this yield. Instead, data for the new classes was collected via a </w:t>
      </w:r>
      <w:r>
        <w:rPr>
          <w:b/>
          <w:bCs/>
        </w:rPr>
        <w:t xml:space="preserve">reset-cycle method</w:t>
      </w:r>
      <w:r>
        <w:t xml:space="preserve">: the ESP32 was manually reset (EN/RST button) before each short capture round, since each fresh reconnection produced its own small allowance of 2–3 CSI packets. Roughly 15 reset-cycle rounds were performed per new activity class, each saved as a separate </w:t>
      </w:r>
      <w:r>
        <w:rPr>
          <w:rFonts w:ascii="Consolas" w:cs="Consolas" w:eastAsia="Consolas" w:hAnsi="Consolas"/>
          <w:color w:val="AE2E24"/>
          <w:sz w:val="20"/>
          <w:szCs w:val="20"/>
          <w:shd w:fill="F1F1F1" w:val="clear"/>
        </w:rPr>
        <w:t xml:space="preserve">.txt</w:t>
      </w:r>
      <w:r>
        <w:t xml:space="preserve"> file and parsed individually, yielding 37–47 samples per new class — smaller than the original three classes, but usable.</w:t>
      </w:r>
    </w:p>
    <w:p>
      <w:pPr>
        <w:pStyle w:val="Heading1"/>
        <w:spacing w:after="160" w:before="320"/>
      </w:pPr>
      <w:r>
        <w:t xml:space="preserve">5.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B2E4A" w:val="clear"/>
            <w:tcMar>
              <w:top w:type="dxa" w:w="80"/>
              <w:left w:type="dxa" w:w="100"/>
              <w:bottom w:type="dxa" w:w="80"/>
              <w:right w:type="dxa" w:w="100"/>
            </w:tcMar>
          </w:tcPr>
          <w:p>
            <w:r>
              <w:rPr>
                <w:b/>
                <w:bCs/>
                <w:color w:val="FFFFFF"/>
              </w:rPr>
              <w:t xml:space="preserve">Class</w:t>
            </w:r>
          </w:p>
        </w:tc>
        <w:tc>
          <w:tcPr>
            <w:tcW w:type="dxa" w:w="3000"/>
            <w:shd w:fill="2B2E4A" w:val="clear"/>
            <w:tcMar>
              <w:top w:type="dxa" w:w="80"/>
              <w:left w:type="dxa" w:w="100"/>
              <w:bottom w:type="dxa" w:w="80"/>
              <w:right w:type="dxa" w:w="100"/>
            </w:tcMar>
          </w:tcPr>
          <w:p>
            <w:r>
              <w:rPr>
                <w:b/>
                <w:bCs/>
                <w:color w:val="FFFFFF"/>
              </w:rPr>
              <w:t xml:space="preserve">Samples</w:t>
            </w:r>
          </w:p>
        </w:tc>
      </w:tr>
      <w:tr>
        <w:tc>
          <w:tcPr>
            <w:tcW w:type="dxa" w:w="6000"/>
            <w:tcMar>
              <w:top w:type="dxa" w:w="80"/>
              <w:left w:type="dxa" w:w="100"/>
              <w:bottom w:type="dxa" w:w="80"/>
              <w:right w:type="dxa" w:w="100"/>
            </w:tcMar>
          </w:tcPr>
          <w:p>
            <w:r>
              <w:t xml:space="preserve">Falling</w:t>
            </w:r>
          </w:p>
        </w:tc>
        <w:tc>
          <w:tcPr>
            <w:tcW w:type="dxa" w:w="3000"/>
            <w:tcMar>
              <w:top w:type="dxa" w:w="80"/>
              <w:left w:type="dxa" w:w="100"/>
              <w:bottom w:type="dxa" w:w="80"/>
              <w:right w:type="dxa" w:w="100"/>
            </w:tcMar>
          </w:tcPr>
          <w:p>
            <w:r>
              <w:t xml:space="preserve">229</w:t>
            </w:r>
          </w:p>
        </w:tc>
      </w:tr>
      <w:tr>
        <w:tc>
          <w:tcPr>
            <w:tcW w:type="dxa" w:w="6000"/>
            <w:tcMar>
              <w:top w:type="dxa" w:w="80"/>
              <w:left w:type="dxa" w:w="100"/>
              <w:bottom w:type="dxa" w:w="80"/>
              <w:right w:type="dxa" w:w="100"/>
            </w:tcMar>
          </w:tcPr>
          <w:p>
            <w:r>
              <w:t xml:space="preserve">Empty</w:t>
            </w:r>
          </w:p>
        </w:tc>
        <w:tc>
          <w:tcPr>
            <w:tcW w:type="dxa" w:w="3000"/>
            <w:tcMar>
              <w:top w:type="dxa" w:w="80"/>
              <w:left w:type="dxa" w:w="100"/>
              <w:bottom w:type="dxa" w:w="80"/>
              <w:right w:type="dxa" w:w="100"/>
            </w:tcMar>
          </w:tcPr>
          <w:p>
            <w:r>
              <w:t xml:space="preserve">220</w:t>
            </w:r>
          </w:p>
        </w:tc>
      </w:tr>
      <w:tr>
        <w:tc>
          <w:tcPr>
            <w:tcW w:type="dxa" w:w="6000"/>
            <w:tcMar>
              <w:top w:type="dxa" w:w="80"/>
              <w:left w:type="dxa" w:w="100"/>
              <w:bottom w:type="dxa" w:w="80"/>
              <w:right w:type="dxa" w:w="100"/>
            </w:tcMar>
          </w:tcPr>
          <w:p>
            <w:r>
              <w:t xml:space="preserve">Walking</w:t>
            </w:r>
          </w:p>
        </w:tc>
        <w:tc>
          <w:tcPr>
            <w:tcW w:type="dxa" w:w="3000"/>
            <w:tcMar>
              <w:top w:type="dxa" w:w="80"/>
              <w:left w:type="dxa" w:w="100"/>
              <w:bottom w:type="dxa" w:w="80"/>
              <w:right w:type="dxa" w:w="100"/>
            </w:tcMar>
          </w:tcPr>
          <w:p>
            <w:r>
              <w:t xml:space="preserve">187</w:t>
            </w:r>
          </w:p>
        </w:tc>
      </w:tr>
      <w:tr>
        <w:tc>
          <w:tcPr>
            <w:tcW w:type="dxa" w:w="6000"/>
            <w:tcMar>
              <w:top w:type="dxa" w:w="80"/>
              <w:left w:type="dxa" w:w="100"/>
              <w:bottom w:type="dxa" w:w="80"/>
              <w:right w:type="dxa" w:w="100"/>
            </w:tcMar>
          </w:tcPr>
          <w:p>
            <w:r>
              <w:t xml:space="preserve">One person present</w:t>
            </w:r>
          </w:p>
        </w:tc>
        <w:tc>
          <w:tcPr>
            <w:tcW w:type="dxa" w:w="3000"/>
            <w:tcMar>
              <w:top w:type="dxa" w:w="80"/>
              <w:left w:type="dxa" w:w="100"/>
              <w:bottom w:type="dxa" w:w="80"/>
              <w:right w:type="dxa" w:w="100"/>
            </w:tcMar>
          </w:tcPr>
          <w:p>
            <w:r>
              <w:t xml:space="preserve">137</w:t>
            </w:r>
          </w:p>
        </w:tc>
      </w:tr>
      <w:tr>
        <w:tc>
          <w:tcPr>
            <w:tcW w:type="dxa" w:w="6000"/>
            <w:tcMar>
              <w:top w:type="dxa" w:w="80"/>
              <w:left w:type="dxa" w:w="100"/>
              <w:bottom w:type="dxa" w:w="80"/>
              <w:right w:type="dxa" w:w="100"/>
            </w:tcMar>
          </w:tcPr>
          <w:p>
            <w:r>
              <w:t xml:space="preserve">Two people present</w:t>
            </w:r>
          </w:p>
        </w:tc>
        <w:tc>
          <w:tcPr>
            <w:tcW w:type="dxa" w:w="3000"/>
            <w:tcMar>
              <w:top w:type="dxa" w:w="80"/>
              <w:left w:type="dxa" w:w="100"/>
              <w:bottom w:type="dxa" w:w="80"/>
              <w:right w:type="dxa" w:w="100"/>
            </w:tcMar>
          </w:tcPr>
          <w:p>
            <w:r>
              <w:t xml:space="preserve">136</w:t>
            </w:r>
          </w:p>
        </w:tc>
      </w:tr>
      <w:tr>
        <w:tc>
          <w:tcPr>
            <w:tcW w:type="dxa" w:w="6000"/>
            <w:tcMar>
              <w:top w:type="dxa" w:w="80"/>
              <w:left w:type="dxa" w:w="100"/>
              <w:bottom w:type="dxa" w:w="80"/>
              <w:right w:type="dxa" w:w="100"/>
            </w:tcMar>
          </w:tcPr>
          <w:p>
            <w:r>
              <w:t xml:space="preserve">Bending</w:t>
            </w:r>
          </w:p>
        </w:tc>
        <w:tc>
          <w:tcPr>
            <w:tcW w:type="dxa" w:w="3000"/>
            <w:tcMar>
              <w:top w:type="dxa" w:w="80"/>
              <w:left w:type="dxa" w:w="100"/>
              <w:bottom w:type="dxa" w:w="80"/>
              <w:right w:type="dxa" w:w="100"/>
            </w:tcMar>
          </w:tcPr>
          <w:p>
            <w:r>
              <w:t xml:space="preserve">47</w:t>
            </w:r>
          </w:p>
        </w:tc>
      </w:tr>
      <w:tr>
        <w:tc>
          <w:tcPr>
            <w:tcW w:type="dxa" w:w="6000"/>
            <w:tcMar>
              <w:top w:type="dxa" w:w="80"/>
              <w:left w:type="dxa" w:w="100"/>
              <w:bottom w:type="dxa" w:w="80"/>
              <w:right w:type="dxa" w:w="100"/>
            </w:tcMar>
          </w:tcPr>
          <w:p>
            <w:r>
              <w:t xml:space="preserve">Sitting/Standing</w:t>
            </w:r>
          </w:p>
        </w:tc>
        <w:tc>
          <w:tcPr>
            <w:tcW w:type="dxa" w:w="3000"/>
            <w:tcMar>
              <w:top w:type="dxa" w:w="80"/>
              <w:left w:type="dxa" w:w="100"/>
              <w:bottom w:type="dxa" w:w="80"/>
              <w:right w:type="dxa" w:w="100"/>
            </w:tcMar>
          </w:tcPr>
          <w:p>
            <w:r>
              <w:t xml:space="preserve">44</w:t>
            </w:r>
          </w:p>
        </w:tc>
      </w:tr>
      <w:tr>
        <w:tc>
          <w:tcPr>
            <w:tcW w:type="dxa" w:w="6000"/>
            <w:tcMar>
              <w:top w:type="dxa" w:w="80"/>
              <w:left w:type="dxa" w:w="100"/>
              <w:bottom w:type="dxa" w:w="80"/>
              <w:right w:type="dxa" w:w="100"/>
            </w:tcMar>
          </w:tcPr>
          <w:p>
            <w:r>
              <w:t xml:space="preserve">Lying down</w:t>
            </w:r>
          </w:p>
        </w:tc>
        <w:tc>
          <w:tcPr>
            <w:tcW w:type="dxa" w:w="3000"/>
            <w:tcMar>
              <w:top w:type="dxa" w:w="80"/>
              <w:left w:type="dxa" w:w="100"/>
              <w:bottom w:type="dxa" w:w="80"/>
              <w:right w:type="dxa" w:w="100"/>
            </w:tcMar>
          </w:tcPr>
          <w:p>
            <w:r>
              <w:t xml:space="preserve">41</w:t>
            </w:r>
          </w:p>
        </w:tc>
      </w:tr>
      <w:tr>
        <w:tc>
          <w:tcPr>
            <w:tcW w:type="dxa" w:w="6000"/>
            <w:tcMar>
              <w:top w:type="dxa" w:w="80"/>
              <w:left w:type="dxa" w:w="100"/>
              <w:bottom w:type="dxa" w:w="80"/>
              <w:right w:type="dxa" w:w="100"/>
            </w:tcMar>
          </w:tcPr>
          <w:p>
            <w:r>
              <w:t xml:space="preserve">Running</w:t>
            </w:r>
          </w:p>
        </w:tc>
        <w:tc>
          <w:tcPr>
            <w:tcW w:type="dxa" w:w="3000"/>
            <w:tcMar>
              <w:top w:type="dxa" w:w="80"/>
              <w:left w:type="dxa" w:w="100"/>
              <w:bottom w:type="dxa" w:w="80"/>
              <w:right w:type="dxa" w:w="100"/>
            </w:tcMar>
          </w:tcPr>
          <w:p>
            <w:r>
              <w:t xml:space="preserve">37</w:t>
            </w:r>
          </w:p>
        </w:tc>
      </w:tr>
      <w:tr>
        <w:tc>
          <w:tcPr>
            <w:tcW w:type="dxa" w:w="6000"/>
            <w:tcMar>
              <w:top w:type="dxa" w:w="80"/>
              <w:left w:type="dxa" w:w="100"/>
              <w:bottom w:type="dxa" w:w="80"/>
              <w:right w:type="dxa" w:w="100"/>
            </w:tcMar>
          </w:tcPr>
          <w:p>
            <w:r>
              <w:t xml:space="preserve">Total (used in training)</w:t>
            </w:r>
          </w:p>
        </w:tc>
        <w:tc>
          <w:tcPr>
            <w:tcW w:type="dxa" w:w="3000"/>
            <w:tcMar>
              <w:top w:type="dxa" w:w="80"/>
              <w:left w:type="dxa" w:w="100"/>
              <w:bottom w:type="dxa" w:w="80"/>
              <w:right w:type="dxa" w:w="100"/>
            </w:tcMar>
          </w:tcPr>
          <w:p>
            <w:r>
              <w:t xml:space="preserve">1078</w:t>
            </w:r>
          </w:p>
        </w:tc>
      </w:tr>
    </w:tbl>
    <w:p>
      <w:pPr>
        <w:spacing w:after="160"/>
      </w:pPr>
    </w:p>
    <w:p>
      <w:pPr>
        <w:spacing w:after="160"/>
      </w:pPr>
      <w:r>
        <w:t xml:space="preserve">The two occupancy classes (one/two people present, both stationary — see Section 7.4) were collected separately from the seven activity classes above, as an exploratory addition.</w:t>
      </w:r>
    </w:p>
    <w:p>
      <w:pPr>
        <w:spacing w:after="160"/>
      </w:pPr>
      <w:r>
        <w:t xml:space="preserve">The original three classes were also bolstered with additional samples during this phase (walking grew from 139 to 187). Two exploratory label sets from earlier sessions (</w:t>
      </w:r>
      <w:r>
        <w:rPr>
          <w:rFonts w:ascii="Consolas" w:cs="Consolas" w:eastAsia="Consolas" w:hAnsi="Consolas"/>
          <w:color w:val="AE2E24"/>
          <w:sz w:val="20"/>
          <w:szCs w:val="20"/>
          <w:shd w:fill="F1F1F1" w:val="clear"/>
        </w:rPr>
        <w:t xml:space="preserve">mixed</w:t>
      </w:r>
      <w:r>
        <w:t xml:space="preserve">, </w:t>
      </w:r>
      <w:r>
        <w:rPr>
          <w:rFonts w:ascii="Consolas" w:cs="Consolas" w:eastAsia="Consolas" w:hAnsi="Consolas"/>
          <w:color w:val="AE2E24"/>
          <w:sz w:val="20"/>
          <w:szCs w:val="20"/>
          <w:shd w:fill="F1F1F1" w:val="clear"/>
        </w:rPr>
        <w:t xml:space="preserve">mixed2</w:t>
      </w:r>
      <w:r>
        <w:t xml:space="preserve">, 126 and 104 samples respectively) exist in the raw combined dataset but are excluded from training by </w:t>
      </w:r>
      <w:r>
        <w:rPr>
          <w:rFonts w:ascii="Consolas" w:cs="Consolas" w:eastAsia="Consolas" w:hAnsi="Consolas"/>
          <w:color w:val="AE2E24"/>
          <w:sz w:val="20"/>
          <w:szCs w:val="20"/>
          <w:shd w:fill="F1F1F1" w:val="clear"/>
        </w:rPr>
        <w:t xml:space="preserve">train_classifier.py</w:t>
      </w:r>
      <w:r>
        <w:t xml:space="preserve">'s label filter.</w:t>
      </w:r>
    </w:p>
    <w:p>
      <w:pPr>
        <w:spacing w:after="160"/>
      </w:pPr>
      <w:r>
        <w:t xml:space="preserve">Samples were combined from individual labeled CSVs via </w:t>
      </w:r>
      <w:r>
        <w:rPr>
          <w:rFonts w:ascii="Consolas" w:cs="Consolas" w:eastAsia="Consolas" w:hAnsi="Consolas"/>
          <w:color w:val="AE2E24"/>
          <w:sz w:val="20"/>
          <w:szCs w:val="20"/>
          <w:shd w:fill="F1F1F1" w:val="clear"/>
        </w:rPr>
        <w:t xml:space="preserve">load_dataset.py</w:t>
      </w:r>
      <w:r>
        <w:t xml:space="preserve"> into a single </w:t>
      </w:r>
      <w:r>
        <w:rPr>
          <w:rFonts w:ascii="Consolas" w:cs="Consolas" w:eastAsia="Consolas" w:hAnsi="Consolas"/>
          <w:color w:val="AE2E24"/>
          <w:sz w:val="20"/>
          <w:szCs w:val="20"/>
          <w:shd w:fill="F1F1F1" w:val="clear"/>
        </w:rPr>
        <w:t xml:space="preserve">combined_dataset.csv</w:t>
      </w:r>
      <w:r>
        <w:t xml:space="preserve"> used for training.</w:t>
      </w:r>
    </w:p>
    <w:p>
      <w:pPr>
        <w:pStyle w:val="Heading1"/>
        <w:spacing w:after="160" w:before="320"/>
      </w:pPr>
      <w:r>
        <w:t xml:space="preserve">6. Feature Extraction</w:t>
      </w:r>
    </w:p>
    <w:p>
      <w:pPr>
        <w:spacing w:after="160"/>
      </w:pPr>
      <w:r>
        <w:t xml:space="preserve">For each labeled CSI sample, the following statistical features were extracted from the amplitude data (</w:t>
      </w:r>
      <w:r>
        <w:rPr>
          <w:rFonts w:ascii="Consolas" w:cs="Consolas" w:eastAsia="Consolas" w:hAnsi="Consolas"/>
          <w:color w:val="AE2E24"/>
          <w:sz w:val="20"/>
          <w:szCs w:val="20"/>
          <w:shd w:fill="F1F1F1" w:val="clear"/>
        </w:rPr>
        <w:t xml:space="preserve">train_classifier.py</w:t>
      </w:r>
      <w:r>
        <w:t xml:space="preserve">):</w:t>
      </w:r>
    </w:p>
    <w:p>
      <w:pPr>
        <w:pStyle w:val="ListParagraph"/>
        <w:numPr>
          <w:ilvl w:val="0"/>
          <w:numId w:val="1"/>
        </w:numPr>
        <w:spacing w:after="80"/>
      </w:pPr>
      <w:r>
        <w:t xml:space="preserve">Mean</w:t>
      </w:r>
    </w:p>
    <w:p>
      <w:pPr>
        <w:pStyle w:val="ListParagraph"/>
        <w:numPr>
          <w:ilvl w:val="0"/>
          <w:numId w:val="1"/>
        </w:numPr>
        <w:spacing w:after="80"/>
      </w:pPr>
      <w:r>
        <w:t xml:space="preserve">Standard deviation</w:t>
      </w:r>
    </w:p>
    <w:p>
      <w:pPr>
        <w:pStyle w:val="ListParagraph"/>
        <w:numPr>
          <w:ilvl w:val="0"/>
          <w:numId w:val="1"/>
        </w:numPr>
        <w:spacing w:after="80"/>
      </w:pPr>
      <w:r>
        <w:t xml:space="preserve">Minimum</w:t>
      </w:r>
    </w:p>
    <w:p>
      <w:pPr>
        <w:pStyle w:val="ListParagraph"/>
        <w:numPr>
          <w:ilvl w:val="0"/>
          <w:numId w:val="1"/>
        </w:numPr>
        <w:spacing w:after="80"/>
      </w:pPr>
      <w:r>
        <w:t xml:space="preserve">Maximum</w:t>
      </w:r>
    </w:p>
    <w:p>
      <w:pPr>
        <w:pStyle w:val="ListParagraph"/>
        <w:numPr>
          <w:ilvl w:val="0"/>
          <w:numId w:val="1"/>
        </w:numPr>
        <w:spacing w:after="80"/>
      </w:pPr>
      <w:r>
        <w:t xml:space="preserve">Median</w:t>
      </w:r>
    </w:p>
    <w:p>
      <w:pPr>
        <w:pStyle w:val="ListParagraph"/>
        <w:numPr>
          <w:ilvl w:val="0"/>
          <w:numId w:val="1"/>
        </w:numPr>
        <w:spacing w:after="80"/>
      </w:pPr>
      <w:r>
        <w:t xml:space="preserve">Energy</w:t>
      </w:r>
    </w:p>
    <w:p>
      <w:pPr>
        <w:pStyle w:val="ListParagraph"/>
        <w:numPr>
          <w:ilvl w:val="0"/>
          <w:numId w:val="1"/>
        </w:numPr>
        <w:spacing w:after="80"/>
      </w:pPr>
      <w:r>
        <w:t xml:space="preserve">Mean absolute difference (a proxy for signal volatility, useful for distinguishing motion-heavy classes like falling/walking from the empty class)</w:t>
      </w:r>
    </w:p>
    <w:p>
      <w:pPr>
        <w:pStyle w:val="ListParagraph"/>
        <w:numPr>
          <w:ilvl w:val="0"/>
          <w:numId w:val="1"/>
        </w:numPr>
        <w:spacing w:after="80"/>
      </w:pPr>
      <w:r>
        <w:t xml:space="preserve">Raw amplitude array (retained alongside the summary statistics)</w:t>
      </w:r>
    </w:p>
    <w:p>
      <w:pPr>
        <w:pStyle w:val="Heading1"/>
        <w:spacing w:after="160" w:before="320"/>
      </w:pPr>
      <w:r>
        <w:t xml:space="preserve">7. Model Training and Results</w:t>
      </w:r>
    </w:p>
    <w:p>
      <w:pPr>
        <w:pStyle w:val="Heading2"/>
        <w:spacing w:after="120" w:before="240"/>
      </w:pPr>
      <w:r>
        <w:t xml:space="preserve">7.1 Initial Three-Class Results</w:t>
      </w:r>
    </w:p>
    <w:p>
      <w:pPr>
        <w:spacing w:after="160"/>
      </w:pPr>
      <w:r>
        <w:t xml:space="preserve">Two classifiers were trained and compared on the original 583-sample, three-class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B2E4A" w:val="clear"/>
            <w:tcMar>
              <w:top w:type="dxa" w:w="80"/>
              <w:left w:type="dxa" w:w="100"/>
              <w:bottom w:type="dxa" w:w="80"/>
              <w:right w:type="dxa" w:w="100"/>
            </w:tcMar>
          </w:tcPr>
          <w:p>
            <w:r>
              <w:rPr>
                <w:b/>
                <w:bCs/>
                <w:color w:val="FFFFFF"/>
              </w:rPr>
              <w:t xml:space="preserve">Model</w:t>
            </w:r>
          </w:p>
        </w:tc>
        <w:tc>
          <w:tcPr>
            <w:tcW w:type="dxa" w:w="3000"/>
            <w:shd w:fill="2B2E4A" w:val="clear"/>
            <w:tcMar>
              <w:top w:type="dxa" w:w="80"/>
              <w:left w:type="dxa" w:w="100"/>
              <w:bottom w:type="dxa" w:w="80"/>
              <w:right w:type="dxa" w:w="100"/>
            </w:tcMar>
          </w:tcPr>
          <w:p>
            <w:r>
              <w:rPr>
                <w:b/>
                <w:bCs/>
                <w:color w:val="FFFFFF"/>
              </w:rPr>
              <w:t xml:space="preserve">Accuracy</w:t>
            </w:r>
          </w:p>
        </w:tc>
      </w:tr>
      <w:tr>
        <w:tc>
          <w:tcPr>
            <w:tcW w:type="dxa" w:w="6000"/>
            <w:tcMar>
              <w:top w:type="dxa" w:w="80"/>
              <w:left w:type="dxa" w:w="100"/>
              <w:bottom w:type="dxa" w:w="80"/>
              <w:right w:type="dxa" w:w="100"/>
            </w:tcMar>
          </w:tcPr>
          <w:p>
            <w:r>
              <w:t xml:space="preserve">SVM</w:t>
            </w:r>
          </w:p>
        </w:tc>
        <w:tc>
          <w:tcPr>
            <w:tcW w:type="dxa" w:w="3000"/>
            <w:tcMar>
              <w:top w:type="dxa" w:w="80"/>
              <w:left w:type="dxa" w:w="100"/>
              <w:bottom w:type="dxa" w:w="80"/>
              <w:right w:type="dxa" w:w="100"/>
            </w:tcMar>
          </w:tcPr>
          <w:p>
            <w:r>
              <w:t xml:space="preserve">82.88%</w:t>
            </w:r>
          </w:p>
        </w:tc>
      </w:tr>
      <w:tr>
        <w:tc>
          <w:tcPr>
            <w:tcW w:type="dxa" w:w="6000"/>
            <w:tcMar>
              <w:top w:type="dxa" w:w="80"/>
              <w:left w:type="dxa" w:w="100"/>
              <w:bottom w:type="dxa" w:w="80"/>
              <w:right w:type="dxa" w:w="100"/>
            </w:tcMar>
          </w:tcPr>
          <w:p>
            <w:r>
              <w:t xml:space="preserve">Random Forest</w:t>
            </w:r>
          </w:p>
        </w:tc>
        <w:tc>
          <w:tcPr>
            <w:tcW w:type="dxa" w:w="3000"/>
            <w:tcMar>
              <w:top w:type="dxa" w:w="80"/>
              <w:left w:type="dxa" w:w="100"/>
              <w:bottom w:type="dxa" w:w="80"/>
              <w:right w:type="dxa" w:w="100"/>
            </w:tcMar>
          </w:tcPr>
          <w:p>
            <w:r>
              <w:t xml:space="preserve">84.25% (best)</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B2E4A" w:val="clear"/>
            <w:tcMar>
              <w:top w:type="dxa" w:w="80"/>
              <w:left w:type="dxa" w:w="100"/>
              <w:bottom w:type="dxa" w:w="80"/>
              <w:right w:type="dxa" w:w="100"/>
            </w:tcMar>
          </w:tcPr>
          <w:p>
            <w:r>
              <w:rPr>
                <w:b/>
                <w:bCs/>
                <w:color w:val="FFFFFF"/>
              </w:rPr>
              <w:t xml:space="preserve">Class</w:t>
            </w:r>
          </w:p>
        </w:tc>
        <w:tc>
          <w:tcPr>
            <w:tcW w:type="dxa" w:w="3000"/>
            <w:shd w:fill="2B2E4A" w:val="clear"/>
            <w:tcMar>
              <w:top w:type="dxa" w:w="80"/>
              <w:left w:type="dxa" w:w="100"/>
              <w:bottom w:type="dxa" w:w="80"/>
              <w:right w:type="dxa" w:w="100"/>
            </w:tcMar>
          </w:tcPr>
          <w:p>
            <w:r>
              <w:rPr>
                <w:b/>
                <w:bCs/>
                <w:color w:val="FFFFFF"/>
              </w:rPr>
              <w:t xml:space="preserve">Recall</w:t>
            </w:r>
          </w:p>
        </w:tc>
      </w:tr>
      <w:tr>
        <w:tc>
          <w:tcPr>
            <w:tcW w:type="dxa" w:w="6000"/>
            <w:tcMar>
              <w:top w:type="dxa" w:w="80"/>
              <w:left w:type="dxa" w:w="100"/>
              <w:bottom w:type="dxa" w:w="80"/>
              <w:right w:type="dxa" w:w="100"/>
            </w:tcMar>
          </w:tcPr>
          <w:p>
            <w:r>
              <w:t xml:space="preserve">Empty</w:t>
            </w:r>
          </w:p>
        </w:tc>
        <w:tc>
          <w:tcPr>
            <w:tcW w:type="dxa" w:w="3000"/>
            <w:tcMar>
              <w:top w:type="dxa" w:w="80"/>
              <w:left w:type="dxa" w:w="100"/>
              <w:bottom w:type="dxa" w:w="80"/>
              <w:right w:type="dxa" w:w="100"/>
            </w:tcMar>
          </w:tcPr>
          <w:p>
            <w:r>
              <w:t xml:space="preserve">0.94</w:t>
            </w:r>
          </w:p>
        </w:tc>
      </w:tr>
      <w:tr>
        <w:tc>
          <w:tcPr>
            <w:tcW w:type="dxa" w:w="6000"/>
            <w:tcMar>
              <w:top w:type="dxa" w:w="80"/>
              <w:left w:type="dxa" w:w="100"/>
              <w:bottom w:type="dxa" w:w="80"/>
              <w:right w:type="dxa" w:w="100"/>
            </w:tcMar>
          </w:tcPr>
          <w:p>
            <w:r>
              <w:t xml:space="preserve">Falling</w:t>
            </w:r>
          </w:p>
        </w:tc>
        <w:tc>
          <w:tcPr>
            <w:tcW w:type="dxa" w:w="3000"/>
            <w:tcMar>
              <w:top w:type="dxa" w:w="80"/>
              <w:left w:type="dxa" w:w="100"/>
              <w:bottom w:type="dxa" w:w="80"/>
              <w:right w:type="dxa" w:w="100"/>
            </w:tcMar>
          </w:tcPr>
          <w:p>
            <w:r>
              <w:t xml:space="preserve">0.81</w:t>
            </w:r>
          </w:p>
        </w:tc>
      </w:tr>
      <w:tr>
        <w:tc>
          <w:tcPr>
            <w:tcW w:type="dxa" w:w="6000"/>
            <w:tcMar>
              <w:top w:type="dxa" w:w="80"/>
              <w:left w:type="dxa" w:w="100"/>
              <w:bottom w:type="dxa" w:w="80"/>
              <w:right w:type="dxa" w:w="100"/>
            </w:tcMar>
          </w:tcPr>
          <w:p>
            <w:r>
              <w:t xml:space="preserve">Walking</w:t>
            </w:r>
          </w:p>
        </w:tc>
        <w:tc>
          <w:tcPr>
            <w:tcW w:type="dxa" w:w="3000"/>
            <w:tcMar>
              <w:top w:type="dxa" w:w="80"/>
              <w:left w:type="dxa" w:w="100"/>
              <w:bottom w:type="dxa" w:w="80"/>
              <w:right w:type="dxa" w:w="100"/>
            </w:tcMar>
          </w:tcPr>
          <w:p>
            <w:r>
              <w:t xml:space="preserve">0.74</w:t>
            </w:r>
          </w:p>
        </w:tc>
      </w:tr>
    </w:tbl>
    <w:p>
      <w:pPr>
        <w:spacing w:after="160"/>
      </w:pPr>
    </w:p>
    <w:p>
      <w:pPr>
        <w:pStyle w:val="Heading2"/>
        <w:spacing w:after="120" w:before="240"/>
      </w:pPr>
      <w:r>
        <w:t xml:space="preserve">7.2 Final Seven-Class Results</w:t>
      </w:r>
    </w:p>
    <w:p>
      <w:pPr>
        <w:spacing w:after="160"/>
      </w:pPr>
      <w:r>
        <w:t xml:space="preserve">After expanding to seven classes (805 samples after filtering; 603 train / 202 test), both classifiers were retrained: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B2E4A" w:val="clear"/>
            <w:tcMar>
              <w:top w:type="dxa" w:w="80"/>
              <w:left w:type="dxa" w:w="100"/>
              <w:bottom w:type="dxa" w:w="80"/>
              <w:right w:type="dxa" w:w="100"/>
            </w:tcMar>
          </w:tcPr>
          <w:p>
            <w:r>
              <w:rPr>
                <w:b/>
                <w:bCs/>
                <w:color w:val="FFFFFF"/>
              </w:rPr>
              <w:t xml:space="preserve">Model</w:t>
            </w:r>
          </w:p>
        </w:tc>
        <w:tc>
          <w:tcPr>
            <w:tcW w:type="dxa" w:w="3000"/>
            <w:shd w:fill="2B2E4A" w:val="clear"/>
            <w:tcMar>
              <w:top w:type="dxa" w:w="80"/>
              <w:left w:type="dxa" w:w="100"/>
              <w:bottom w:type="dxa" w:w="80"/>
              <w:right w:type="dxa" w:w="100"/>
            </w:tcMar>
          </w:tcPr>
          <w:p>
            <w:r>
              <w:rPr>
                <w:b/>
                <w:bCs/>
                <w:color w:val="FFFFFF"/>
              </w:rPr>
              <w:t xml:space="preserve">Accuracy</w:t>
            </w:r>
          </w:p>
        </w:tc>
      </w:tr>
      <w:tr>
        <w:tc>
          <w:tcPr>
            <w:tcW w:type="dxa" w:w="6000"/>
            <w:tcMar>
              <w:top w:type="dxa" w:w="80"/>
              <w:left w:type="dxa" w:w="100"/>
              <w:bottom w:type="dxa" w:w="80"/>
              <w:right w:type="dxa" w:w="100"/>
            </w:tcMar>
          </w:tcPr>
          <w:p>
            <w:r>
              <w:t xml:space="preserve">SVM</w:t>
            </w:r>
          </w:p>
        </w:tc>
        <w:tc>
          <w:tcPr>
            <w:tcW w:type="dxa" w:w="3000"/>
            <w:tcMar>
              <w:top w:type="dxa" w:w="80"/>
              <w:left w:type="dxa" w:w="100"/>
              <w:bottom w:type="dxa" w:w="80"/>
              <w:right w:type="dxa" w:w="100"/>
            </w:tcMar>
          </w:tcPr>
          <w:p>
            <w:r>
              <w:t xml:space="preserve">71.29%</w:t>
            </w:r>
          </w:p>
        </w:tc>
      </w:tr>
      <w:tr>
        <w:tc>
          <w:tcPr>
            <w:tcW w:type="dxa" w:w="6000"/>
            <w:tcMar>
              <w:top w:type="dxa" w:w="80"/>
              <w:left w:type="dxa" w:w="100"/>
              <w:bottom w:type="dxa" w:w="80"/>
              <w:right w:type="dxa" w:w="100"/>
            </w:tcMar>
          </w:tcPr>
          <w:p>
            <w:r>
              <w:t xml:space="preserve">Random Forest</w:t>
            </w:r>
          </w:p>
        </w:tc>
        <w:tc>
          <w:tcPr>
            <w:tcW w:type="dxa" w:w="3000"/>
            <w:tcMar>
              <w:top w:type="dxa" w:w="80"/>
              <w:left w:type="dxa" w:w="100"/>
              <w:bottom w:type="dxa" w:w="80"/>
              <w:right w:type="dxa" w:w="100"/>
            </w:tcMar>
          </w:tcPr>
          <w:p>
            <w:r>
              <w:t xml:space="preserve">74.75% (best)</w:t>
            </w:r>
          </w:p>
        </w:tc>
      </w:tr>
    </w:tbl>
    <w:p>
      <w:pPr>
        <w:spacing w:after="160"/>
      </w:pPr>
    </w:p>
    <w:p>
      <w:pPr>
        <w:spacing w:after="160"/>
      </w:pPr>
      <w:r>
        <w:rPr>
          <w:b/>
          <w:bCs/>
        </w:rPr>
        <w:t xml:space="preserve">Random Forest per-class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550"/>
      </w:tblGrid>
      <w:tr>
        <w:trPr>
          <w:tblHeader/>
        </w:trPr>
        <w:tc>
          <w:tcPr>
            <w:tcW w:type="dxa" w:w="2800"/>
            <w:shd w:fill="2B2E4A" w:val="clear"/>
            <w:tcMar>
              <w:top w:type="dxa" w:w="80"/>
              <w:left w:type="dxa" w:w="100"/>
              <w:bottom w:type="dxa" w:w="80"/>
              <w:right w:type="dxa" w:w="100"/>
            </w:tcMar>
          </w:tcPr>
          <w:p>
            <w:r>
              <w:rPr>
                <w:b/>
                <w:bCs/>
                <w:color w:val="FFFFFF"/>
              </w:rPr>
              <w:t xml:space="preserve">Class</w:t>
            </w:r>
          </w:p>
        </w:tc>
        <w:tc>
          <w:tcPr>
            <w:tcW w:type="dxa" w:w="1550"/>
            <w:shd w:fill="2B2E4A" w:val="clear"/>
            <w:tcMar>
              <w:top w:type="dxa" w:w="80"/>
              <w:left w:type="dxa" w:w="100"/>
              <w:bottom w:type="dxa" w:w="80"/>
              <w:right w:type="dxa" w:w="100"/>
            </w:tcMar>
          </w:tcPr>
          <w:p>
            <w:r>
              <w:rPr>
                <w:b/>
                <w:bCs/>
                <w:color w:val="FFFFFF"/>
              </w:rPr>
              <w:t xml:space="preserve">Precision</w:t>
            </w:r>
          </w:p>
        </w:tc>
        <w:tc>
          <w:tcPr>
            <w:tcW w:type="dxa" w:w="1550"/>
            <w:shd w:fill="2B2E4A" w:val="clear"/>
            <w:tcMar>
              <w:top w:type="dxa" w:w="80"/>
              <w:left w:type="dxa" w:w="100"/>
              <w:bottom w:type="dxa" w:w="80"/>
              <w:right w:type="dxa" w:w="100"/>
            </w:tcMar>
          </w:tcPr>
          <w:p>
            <w:r>
              <w:rPr>
                <w:b/>
                <w:bCs/>
                <w:color w:val="FFFFFF"/>
              </w:rPr>
              <w:t xml:space="preserve">Recall</w:t>
            </w:r>
          </w:p>
        </w:tc>
        <w:tc>
          <w:tcPr>
            <w:tcW w:type="dxa" w:w="1550"/>
            <w:shd w:fill="2B2E4A" w:val="clear"/>
            <w:tcMar>
              <w:top w:type="dxa" w:w="80"/>
              <w:left w:type="dxa" w:w="100"/>
              <w:bottom w:type="dxa" w:w="80"/>
              <w:right w:type="dxa" w:w="100"/>
            </w:tcMar>
          </w:tcPr>
          <w:p>
            <w:r>
              <w:rPr>
                <w:b/>
                <w:bCs/>
                <w:color w:val="FFFFFF"/>
              </w:rPr>
              <w:t xml:space="preserve">F1-score</w:t>
            </w:r>
          </w:p>
        </w:tc>
        <w:tc>
          <w:tcPr>
            <w:tcW w:type="dxa" w:w="1550"/>
            <w:shd w:fill="2B2E4A" w:val="clear"/>
            <w:tcMar>
              <w:top w:type="dxa" w:w="80"/>
              <w:left w:type="dxa" w:w="100"/>
              <w:bottom w:type="dxa" w:w="80"/>
              <w:right w:type="dxa" w:w="100"/>
            </w:tcMar>
          </w:tcPr>
          <w:p>
            <w:r>
              <w:rPr>
                <w:b/>
                <w:bCs/>
                <w:color w:val="FFFFFF"/>
              </w:rPr>
              <w:t xml:space="preserve">Support</w:t>
            </w:r>
          </w:p>
        </w:tc>
      </w:tr>
      <w:tr>
        <w:tc>
          <w:tcPr>
            <w:tcW w:type="dxa" w:w="2800"/>
            <w:tcMar>
              <w:top w:type="dxa" w:w="80"/>
              <w:left w:type="dxa" w:w="100"/>
              <w:bottom w:type="dxa" w:w="80"/>
              <w:right w:type="dxa" w:w="100"/>
            </w:tcMar>
          </w:tcPr>
          <w:p>
            <w:r>
              <w:t xml:space="preserve">Empty</w:t>
            </w:r>
          </w:p>
        </w:tc>
        <w:tc>
          <w:tcPr>
            <w:tcW w:type="dxa" w:w="1550"/>
            <w:tcMar>
              <w:top w:type="dxa" w:w="80"/>
              <w:left w:type="dxa" w:w="100"/>
              <w:bottom w:type="dxa" w:w="80"/>
              <w:right w:type="dxa" w:w="100"/>
            </w:tcMar>
          </w:tcPr>
          <w:p>
            <w:r>
              <w:t xml:space="preserve">0.88</w:t>
            </w:r>
          </w:p>
        </w:tc>
        <w:tc>
          <w:tcPr>
            <w:tcW w:type="dxa" w:w="1550"/>
            <w:tcMar>
              <w:top w:type="dxa" w:w="80"/>
              <w:left w:type="dxa" w:w="100"/>
              <w:bottom w:type="dxa" w:w="80"/>
              <w:right w:type="dxa" w:w="100"/>
            </w:tcMar>
          </w:tcPr>
          <w:p>
            <w:r>
              <w:t xml:space="preserve">0.82</w:t>
            </w:r>
          </w:p>
        </w:tc>
        <w:tc>
          <w:tcPr>
            <w:tcW w:type="dxa" w:w="1550"/>
            <w:tcMar>
              <w:top w:type="dxa" w:w="80"/>
              <w:left w:type="dxa" w:w="100"/>
              <w:bottom w:type="dxa" w:w="80"/>
              <w:right w:type="dxa" w:w="100"/>
            </w:tcMar>
          </w:tcPr>
          <w:p>
            <w:r>
              <w:t xml:space="preserve">0.85</w:t>
            </w:r>
          </w:p>
        </w:tc>
        <w:tc>
          <w:tcPr>
            <w:tcW w:type="dxa" w:w="1550"/>
            <w:tcMar>
              <w:top w:type="dxa" w:w="80"/>
              <w:left w:type="dxa" w:w="100"/>
              <w:bottom w:type="dxa" w:w="80"/>
              <w:right w:type="dxa" w:w="100"/>
            </w:tcMar>
          </w:tcPr>
          <w:p>
            <w:r>
              <w:t xml:space="preserve">55</w:t>
            </w:r>
          </w:p>
        </w:tc>
      </w:tr>
      <w:tr>
        <w:tc>
          <w:tcPr>
            <w:tcW w:type="dxa" w:w="2800"/>
            <w:tcMar>
              <w:top w:type="dxa" w:w="80"/>
              <w:left w:type="dxa" w:w="100"/>
              <w:bottom w:type="dxa" w:w="80"/>
              <w:right w:type="dxa" w:w="100"/>
            </w:tcMar>
          </w:tcPr>
          <w:p>
            <w:r>
              <w:t xml:space="preserve">Falling</w:t>
            </w:r>
          </w:p>
        </w:tc>
        <w:tc>
          <w:tcPr>
            <w:tcW w:type="dxa" w:w="1550"/>
            <w:tcMar>
              <w:top w:type="dxa" w:w="80"/>
              <w:left w:type="dxa" w:w="100"/>
              <w:bottom w:type="dxa" w:w="80"/>
              <w:right w:type="dxa" w:w="100"/>
            </w:tcMar>
          </w:tcPr>
          <w:p>
            <w:r>
              <w:t xml:space="preserve">0.82</w:t>
            </w:r>
          </w:p>
        </w:tc>
        <w:tc>
          <w:tcPr>
            <w:tcW w:type="dxa" w:w="1550"/>
            <w:tcMar>
              <w:top w:type="dxa" w:w="80"/>
              <w:left w:type="dxa" w:w="100"/>
              <w:bottom w:type="dxa" w:w="80"/>
              <w:right w:type="dxa" w:w="100"/>
            </w:tcMar>
          </w:tcPr>
          <w:p>
            <w:r>
              <w:t xml:space="preserve">0.84</w:t>
            </w:r>
          </w:p>
        </w:tc>
        <w:tc>
          <w:tcPr>
            <w:tcW w:type="dxa" w:w="1550"/>
            <w:tcMar>
              <w:top w:type="dxa" w:w="80"/>
              <w:left w:type="dxa" w:w="100"/>
              <w:bottom w:type="dxa" w:w="80"/>
              <w:right w:type="dxa" w:w="100"/>
            </w:tcMar>
          </w:tcPr>
          <w:p>
            <w:r>
              <w:t xml:space="preserve">0.83</w:t>
            </w:r>
          </w:p>
        </w:tc>
        <w:tc>
          <w:tcPr>
            <w:tcW w:type="dxa" w:w="1550"/>
            <w:tcMar>
              <w:top w:type="dxa" w:w="80"/>
              <w:left w:type="dxa" w:w="100"/>
              <w:bottom w:type="dxa" w:w="80"/>
              <w:right w:type="dxa" w:w="100"/>
            </w:tcMar>
          </w:tcPr>
          <w:p>
            <w:r>
              <w:t xml:space="preserve">58</w:t>
            </w:r>
          </w:p>
        </w:tc>
      </w:tr>
      <w:tr>
        <w:tc>
          <w:tcPr>
            <w:tcW w:type="dxa" w:w="2800"/>
            <w:tcMar>
              <w:top w:type="dxa" w:w="80"/>
              <w:left w:type="dxa" w:w="100"/>
              <w:bottom w:type="dxa" w:w="80"/>
              <w:right w:type="dxa" w:w="100"/>
            </w:tcMar>
          </w:tcPr>
          <w:p>
            <w:r>
              <w:t xml:space="preserve">Walking</w:t>
            </w:r>
          </w:p>
        </w:tc>
        <w:tc>
          <w:tcPr>
            <w:tcW w:type="dxa" w:w="1550"/>
            <w:tcMar>
              <w:top w:type="dxa" w:w="80"/>
              <w:left w:type="dxa" w:w="100"/>
              <w:bottom w:type="dxa" w:w="80"/>
              <w:right w:type="dxa" w:w="100"/>
            </w:tcMar>
          </w:tcPr>
          <w:p>
            <w:r>
              <w:t xml:space="preserve">0.75</w:t>
            </w:r>
          </w:p>
        </w:tc>
        <w:tc>
          <w:tcPr>
            <w:tcW w:type="dxa" w:w="1550"/>
            <w:tcMar>
              <w:top w:type="dxa" w:w="80"/>
              <w:left w:type="dxa" w:w="100"/>
              <w:bottom w:type="dxa" w:w="80"/>
              <w:right w:type="dxa" w:w="100"/>
            </w:tcMar>
          </w:tcPr>
          <w:p>
            <w:r>
              <w:t xml:space="preserve">0.81</w:t>
            </w:r>
          </w:p>
        </w:tc>
        <w:tc>
          <w:tcPr>
            <w:tcW w:type="dxa" w:w="1550"/>
            <w:tcMar>
              <w:top w:type="dxa" w:w="80"/>
              <w:left w:type="dxa" w:w="100"/>
              <w:bottom w:type="dxa" w:w="80"/>
              <w:right w:type="dxa" w:w="100"/>
            </w:tcMar>
          </w:tcPr>
          <w:p>
            <w:r>
              <w:t xml:space="preserve">0.78</w:t>
            </w:r>
          </w:p>
        </w:tc>
        <w:tc>
          <w:tcPr>
            <w:tcW w:type="dxa" w:w="1550"/>
            <w:tcMar>
              <w:top w:type="dxa" w:w="80"/>
              <w:left w:type="dxa" w:w="100"/>
              <w:bottom w:type="dxa" w:w="80"/>
              <w:right w:type="dxa" w:w="100"/>
            </w:tcMar>
          </w:tcPr>
          <w:p>
            <w:r>
              <w:t xml:space="preserve">47</w:t>
            </w:r>
          </w:p>
        </w:tc>
      </w:tr>
      <w:tr>
        <w:tc>
          <w:tcPr>
            <w:tcW w:type="dxa" w:w="2800"/>
            <w:tcMar>
              <w:top w:type="dxa" w:w="80"/>
              <w:left w:type="dxa" w:w="100"/>
              <w:bottom w:type="dxa" w:w="80"/>
              <w:right w:type="dxa" w:w="100"/>
            </w:tcMar>
          </w:tcPr>
          <w:p>
            <w:r>
              <w:t xml:space="preserve">Sitting/Standing</w:t>
            </w:r>
          </w:p>
        </w:tc>
        <w:tc>
          <w:tcPr>
            <w:tcW w:type="dxa" w:w="1550"/>
            <w:tcMar>
              <w:top w:type="dxa" w:w="80"/>
              <w:left w:type="dxa" w:w="100"/>
              <w:bottom w:type="dxa" w:w="80"/>
              <w:right w:type="dxa" w:w="100"/>
            </w:tcMar>
          </w:tcPr>
          <w:p>
            <w:r>
              <w:t xml:space="preserve">0.55</w:t>
            </w:r>
          </w:p>
        </w:tc>
        <w:tc>
          <w:tcPr>
            <w:tcW w:type="dxa" w:w="1550"/>
            <w:tcMar>
              <w:top w:type="dxa" w:w="80"/>
              <w:left w:type="dxa" w:w="100"/>
              <w:bottom w:type="dxa" w:w="80"/>
              <w:right w:type="dxa" w:w="100"/>
            </w:tcMar>
          </w:tcPr>
          <w:p>
            <w:r>
              <w:t xml:space="preserve">0.55</w:t>
            </w:r>
          </w:p>
        </w:tc>
        <w:tc>
          <w:tcPr>
            <w:tcW w:type="dxa" w:w="1550"/>
            <w:tcMar>
              <w:top w:type="dxa" w:w="80"/>
              <w:left w:type="dxa" w:w="100"/>
              <w:bottom w:type="dxa" w:w="80"/>
              <w:right w:type="dxa" w:w="100"/>
            </w:tcMar>
          </w:tcPr>
          <w:p>
            <w:r>
              <w:t xml:space="preserve">0.55</w:t>
            </w:r>
          </w:p>
        </w:tc>
        <w:tc>
          <w:tcPr>
            <w:tcW w:type="dxa" w:w="1550"/>
            <w:tcMar>
              <w:top w:type="dxa" w:w="80"/>
              <w:left w:type="dxa" w:w="100"/>
              <w:bottom w:type="dxa" w:w="80"/>
              <w:right w:type="dxa" w:w="100"/>
            </w:tcMar>
          </w:tcPr>
          <w:p>
            <w:r>
              <w:t xml:space="preserve">11</w:t>
            </w:r>
          </w:p>
        </w:tc>
      </w:tr>
      <w:tr>
        <w:tc>
          <w:tcPr>
            <w:tcW w:type="dxa" w:w="2800"/>
            <w:tcMar>
              <w:top w:type="dxa" w:w="80"/>
              <w:left w:type="dxa" w:w="100"/>
              <w:bottom w:type="dxa" w:w="80"/>
              <w:right w:type="dxa" w:w="100"/>
            </w:tcMar>
          </w:tcPr>
          <w:p>
            <w:r>
              <w:t xml:space="preserve">Bending</w:t>
            </w:r>
          </w:p>
        </w:tc>
        <w:tc>
          <w:tcPr>
            <w:tcW w:type="dxa" w:w="1550"/>
            <w:tcMar>
              <w:top w:type="dxa" w:w="80"/>
              <w:left w:type="dxa" w:w="100"/>
              <w:bottom w:type="dxa" w:w="80"/>
              <w:right w:type="dxa" w:w="100"/>
            </w:tcMar>
          </w:tcPr>
          <w:p>
            <w:r>
              <w:t xml:space="preserve">0.50</w:t>
            </w:r>
          </w:p>
        </w:tc>
        <w:tc>
          <w:tcPr>
            <w:tcW w:type="dxa" w:w="1550"/>
            <w:tcMar>
              <w:top w:type="dxa" w:w="80"/>
              <w:left w:type="dxa" w:w="100"/>
              <w:bottom w:type="dxa" w:w="80"/>
              <w:right w:type="dxa" w:w="100"/>
            </w:tcMar>
          </w:tcPr>
          <w:p>
            <w:r>
              <w:t xml:space="preserve">0.50</w:t>
            </w:r>
          </w:p>
        </w:tc>
        <w:tc>
          <w:tcPr>
            <w:tcW w:type="dxa" w:w="1550"/>
            <w:tcMar>
              <w:top w:type="dxa" w:w="80"/>
              <w:left w:type="dxa" w:w="100"/>
              <w:bottom w:type="dxa" w:w="80"/>
              <w:right w:type="dxa" w:w="100"/>
            </w:tcMar>
          </w:tcPr>
          <w:p>
            <w:r>
              <w:t xml:space="preserve">0.50</w:t>
            </w:r>
          </w:p>
        </w:tc>
        <w:tc>
          <w:tcPr>
            <w:tcW w:type="dxa" w:w="1550"/>
            <w:tcMar>
              <w:top w:type="dxa" w:w="80"/>
              <w:left w:type="dxa" w:w="100"/>
              <w:bottom w:type="dxa" w:w="80"/>
              <w:right w:type="dxa" w:w="100"/>
            </w:tcMar>
          </w:tcPr>
          <w:p>
            <w:r>
              <w:t xml:space="preserve">12</w:t>
            </w:r>
          </w:p>
        </w:tc>
      </w:tr>
      <w:tr>
        <w:tc>
          <w:tcPr>
            <w:tcW w:type="dxa" w:w="2800"/>
            <w:tcMar>
              <w:top w:type="dxa" w:w="80"/>
              <w:left w:type="dxa" w:w="100"/>
              <w:bottom w:type="dxa" w:w="80"/>
              <w:right w:type="dxa" w:w="100"/>
            </w:tcMar>
          </w:tcPr>
          <w:p>
            <w:r>
              <w:t xml:space="preserve">Running</w:t>
            </w:r>
          </w:p>
        </w:tc>
        <w:tc>
          <w:tcPr>
            <w:tcW w:type="dxa" w:w="1550"/>
            <w:tcMar>
              <w:top w:type="dxa" w:w="80"/>
              <w:left w:type="dxa" w:w="100"/>
              <w:bottom w:type="dxa" w:w="80"/>
              <w:right w:type="dxa" w:w="100"/>
            </w:tcMar>
          </w:tcPr>
          <w:p>
            <w:r>
              <w:t xml:space="preserve">0.44</w:t>
            </w:r>
          </w:p>
        </w:tc>
        <w:tc>
          <w:tcPr>
            <w:tcW w:type="dxa" w:w="1550"/>
            <w:tcMar>
              <w:top w:type="dxa" w:w="80"/>
              <w:left w:type="dxa" w:w="100"/>
              <w:bottom w:type="dxa" w:w="80"/>
              <w:right w:type="dxa" w:w="100"/>
            </w:tcMar>
          </w:tcPr>
          <w:p>
            <w:r>
              <w:t xml:space="preserve">0.44</w:t>
            </w:r>
          </w:p>
        </w:tc>
        <w:tc>
          <w:tcPr>
            <w:tcW w:type="dxa" w:w="1550"/>
            <w:tcMar>
              <w:top w:type="dxa" w:w="80"/>
              <w:left w:type="dxa" w:w="100"/>
              <w:bottom w:type="dxa" w:w="80"/>
              <w:right w:type="dxa" w:w="100"/>
            </w:tcMar>
          </w:tcPr>
          <w:p>
            <w:r>
              <w:t xml:space="preserve">0.44</w:t>
            </w:r>
          </w:p>
        </w:tc>
        <w:tc>
          <w:tcPr>
            <w:tcW w:type="dxa" w:w="1550"/>
            <w:tcMar>
              <w:top w:type="dxa" w:w="80"/>
              <w:left w:type="dxa" w:w="100"/>
              <w:bottom w:type="dxa" w:w="80"/>
              <w:right w:type="dxa" w:w="100"/>
            </w:tcMar>
          </w:tcPr>
          <w:p>
            <w:r>
              <w:t xml:space="preserve">9</w:t>
            </w:r>
          </w:p>
        </w:tc>
      </w:tr>
      <w:tr>
        <w:tc>
          <w:tcPr>
            <w:tcW w:type="dxa" w:w="2800"/>
            <w:tcMar>
              <w:top w:type="dxa" w:w="80"/>
              <w:left w:type="dxa" w:w="100"/>
              <w:bottom w:type="dxa" w:w="80"/>
              <w:right w:type="dxa" w:w="100"/>
            </w:tcMar>
          </w:tcPr>
          <w:p>
            <w:r>
              <w:t xml:space="preserve">Lying down</w:t>
            </w:r>
          </w:p>
        </w:tc>
        <w:tc>
          <w:tcPr>
            <w:tcW w:type="dxa" w:w="1550"/>
            <w:tcMar>
              <w:top w:type="dxa" w:w="80"/>
              <w:left w:type="dxa" w:w="100"/>
              <w:bottom w:type="dxa" w:w="80"/>
              <w:right w:type="dxa" w:w="100"/>
            </w:tcMar>
          </w:tcPr>
          <w:p>
            <w:r>
              <w:t xml:space="preserve">0.38</w:t>
            </w:r>
          </w:p>
        </w:tc>
        <w:tc>
          <w:tcPr>
            <w:tcW w:type="dxa" w:w="1550"/>
            <w:tcMar>
              <w:top w:type="dxa" w:w="80"/>
              <w:left w:type="dxa" w:w="100"/>
              <w:bottom w:type="dxa" w:w="80"/>
              <w:right w:type="dxa" w:w="100"/>
            </w:tcMar>
          </w:tcPr>
          <w:p>
            <w:r>
              <w:t xml:space="preserve">0.30</w:t>
            </w:r>
          </w:p>
        </w:tc>
        <w:tc>
          <w:tcPr>
            <w:tcW w:type="dxa" w:w="1550"/>
            <w:tcMar>
              <w:top w:type="dxa" w:w="80"/>
              <w:left w:type="dxa" w:w="100"/>
              <w:bottom w:type="dxa" w:w="80"/>
              <w:right w:type="dxa" w:w="100"/>
            </w:tcMar>
          </w:tcPr>
          <w:p>
            <w:r>
              <w:t xml:space="preserve">0.33</w:t>
            </w:r>
          </w:p>
        </w:tc>
        <w:tc>
          <w:tcPr>
            <w:tcW w:type="dxa" w:w="1550"/>
            <w:tcMar>
              <w:top w:type="dxa" w:w="80"/>
              <w:left w:type="dxa" w:w="100"/>
              <w:bottom w:type="dxa" w:w="80"/>
              <w:right w:type="dxa" w:w="100"/>
            </w:tcMar>
          </w:tcPr>
          <w:p>
            <w:r>
              <w:t xml:space="preserve">10</w:t>
            </w:r>
          </w:p>
        </w:tc>
      </w:tr>
    </w:tbl>
    <w:p>
      <w:pPr>
        <w:spacing w:after="160"/>
      </w:pPr>
    </w:p>
    <w:p>
      <w:pPr>
        <w:spacing w:after="160"/>
      </w:pPr>
      <w:r>
        <w:t xml:space="preserve">Random Forest was selected as the final model and saved via </w:t>
      </w:r>
      <w:r>
        <w:rPr>
          <w:rFonts w:ascii="Consolas" w:cs="Consolas" w:eastAsia="Consolas" w:hAnsi="Consolas"/>
          <w:color w:val="AE2E24"/>
          <w:sz w:val="20"/>
          <w:szCs w:val="20"/>
          <w:shd w:fill="F1F1F1" w:val="clear"/>
        </w:rPr>
        <w:t xml:space="preserve">joblib</w:t>
      </w:r>
      <w:r>
        <w:t xml:space="preserve"> as </w:t>
      </w:r>
      <w:r>
        <w:rPr>
          <w:rFonts w:ascii="Consolas" w:cs="Consolas" w:eastAsia="Consolas" w:hAnsi="Consolas"/>
          <w:color w:val="AE2E24"/>
          <w:sz w:val="20"/>
          <w:szCs w:val="20"/>
          <w:shd w:fill="F1F1F1" w:val="clear"/>
        </w:rPr>
        <w:t xml:space="preserve">trained_model.pkl</w:t>
      </w:r>
      <w:r>
        <w:t xml:space="preserve">, alongside the fitted </w:t>
      </w:r>
      <w:r>
        <w:rPr>
          <w:rFonts w:ascii="Consolas" w:cs="Consolas" w:eastAsia="Consolas" w:hAnsi="Consolas"/>
          <w:color w:val="AE2E24"/>
          <w:sz w:val="20"/>
          <w:szCs w:val="20"/>
          <w:shd w:fill="F1F1F1" w:val="clear"/>
        </w:rPr>
        <w:t xml:space="preserve">scaler.pkl</w:t>
      </w:r>
      <w:r>
        <w:t xml:space="preserve"> and </w:t>
      </w:r>
      <w:r>
        <w:rPr>
          <w:rFonts w:ascii="Consolas" w:cs="Consolas" w:eastAsia="Consolas" w:hAnsi="Consolas"/>
          <w:color w:val="AE2E24"/>
          <w:sz w:val="20"/>
          <w:szCs w:val="20"/>
          <w:shd w:fill="F1F1F1" w:val="clear"/>
        </w:rPr>
        <w:t xml:space="preserve">label_encoder.pkl</w:t>
      </w:r>
      <w:r>
        <w:t xml:space="preserve"> used for preprocessing at inference time.</w:t>
      </w:r>
    </w:p>
    <w:p>
      <w:pPr>
        <w:pStyle w:val="Heading2"/>
        <w:spacing w:after="120" w:before="240"/>
      </w:pPr>
      <w:r>
        <w:t xml:space="preserve">7.3 Discussion</w:t>
      </w:r>
    </w:p>
    <w:p>
      <w:pPr>
        <w:spacing w:after="160"/>
      </w:pPr>
      <w:r>
        <w:t xml:space="preserve">The overall accuracy drop from 84.25% to 74.75% reflects the increased difficulty of a seven-class problem rather than a degradation of the original system: the three original classes actually held steady or improved (falling: 0.81→0.84 recall; walking: 0.74→0.81 recall, likely helped by the additional bolstering samples collected in this phase), while empty saw a modest dip (0.94→0.82), plausibly picking up some confusion with the newly added low-motion classes (sitting/standing, lying down).</w:t>
      </w:r>
    </w:p>
    <w:p>
      <w:pPr>
        <w:spacing w:after="160"/>
      </w:pPr>
      <w:r>
        <w:t xml:space="preserve">The four newly added classes show the weakest, noisiest performance (0.30–0.55 recall), which lines up directly with their support column — each has only 9–12 test samples, versus 47–58 for the original three. At this sample size, a handful of misclassifications swings the recall substantially; this is a data-volume limitation, not necessarily a sign that these activities are inherently harder to distinguish via CSI. Lying down is the weakest class overall (0.30 recall), which is plausible given its amplitude signature (a large, sustained change with little subsequent variation) may be closer to falling's initial signal characteristics than to any of the more dynamic classes.</w:t>
      </w:r>
    </w:p>
    <w:p>
      <w:pPr>
        <w:pStyle w:val="Heading2"/>
        <w:spacing w:after="120" w:before="240"/>
      </w:pPr>
      <w:r>
        <w:t xml:space="preserve">7.4 Occupancy Detection Prototype</w:t>
      </w:r>
    </w:p>
    <w:p>
      <w:pPr>
        <w:spacing w:after="160"/>
      </w:pPr>
      <w:r>
        <w:t xml:space="preserve">As an exploratory extension beyond activity classification, two additional classes were collected — </w:t>
      </w:r>
      <w:r>
        <w:rPr>
          <w:rFonts w:ascii="Consolas" w:cs="Consolas" w:eastAsia="Consolas" w:hAnsi="Consolas"/>
          <w:color w:val="AE2E24"/>
          <w:sz w:val="20"/>
          <w:szCs w:val="20"/>
          <w:shd w:fill="F1F1F1" w:val="clear"/>
        </w:rPr>
        <w:t xml:space="preserve">one_person</w:t>
      </w:r>
      <w:r>
        <w:t xml:space="preserve"> and </w:t>
      </w:r>
      <w:r>
        <w:rPr>
          <w:rFonts w:ascii="Consolas" w:cs="Consolas" w:eastAsia="Consolas" w:hAnsi="Consolas"/>
          <w:color w:val="AE2E24"/>
          <w:sz w:val="20"/>
          <w:szCs w:val="20"/>
          <w:shd w:fill="F1F1F1" w:val="clear"/>
        </w:rPr>
        <w:t xml:space="preserve">two_person</w:t>
      </w:r>
      <w:r>
        <w:t xml:space="preserve"> — both defined as stationary presence (no activity performed) to isolate occupant count as the only variable, using </w:t>
      </w:r>
      <w:r>
        <w:rPr>
          <w:rFonts w:ascii="Consolas" w:cs="Consolas" w:eastAsia="Consolas" w:hAnsi="Consolas"/>
          <w:color w:val="AE2E24"/>
          <w:sz w:val="20"/>
          <w:szCs w:val="20"/>
          <w:shd w:fill="F1F1F1" w:val="clear"/>
        </w:rPr>
        <w:t xml:space="preserve">empty</w:t>
      </w:r>
      <w:r>
        <w:t xml:space="preserve"> as the existing zero-occupant baseline. Both new classes yielded a strong 136–137 samples each via the reset-cycle method, notably higher than the four activity classes added earlier, suggesting the unhurried pacing used during this session (rather than rapid back-to-back resets) may itself improve yield — a lead worth revisiting for the weaker activity classes in future work.</w:t>
      </w:r>
    </w:p>
    <w:p>
      <w:pPr>
        <w:spacing w:after="160"/>
      </w:pPr>
      <w:r>
        <w:t xml:space="preserve">All nine classes were combined into a single classifier and retrained: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2B2E4A" w:val="clear"/>
            <w:tcMar>
              <w:top w:type="dxa" w:w="80"/>
              <w:left w:type="dxa" w:w="100"/>
              <w:bottom w:type="dxa" w:w="80"/>
              <w:right w:type="dxa" w:w="100"/>
            </w:tcMar>
          </w:tcPr>
          <w:p>
            <w:r>
              <w:rPr>
                <w:b/>
                <w:bCs/>
                <w:color w:val="FFFFFF"/>
              </w:rPr>
              <w:t xml:space="preserve">Model</w:t>
            </w:r>
          </w:p>
        </w:tc>
        <w:tc>
          <w:tcPr>
            <w:tcW w:type="dxa" w:w="3000"/>
            <w:shd w:fill="2B2E4A" w:val="clear"/>
            <w:tcMar>
              <w:top w:type="dxa" w:w="80"/>
              <w:left w:type="dxa" w:w="100"/>
              <w:bottom w:type="dxa" w:w="80"/>
              <w:right w:type="dxa" w:w="100"/>
            </w:tcMar>
          </w:tcPr>
          <w:p>
            <w:r>
              <w:rPr>
                <w:b/>
                <w:bCs/>
                <w:color w:val="FFFFFF"/>
              </w:rPr>
              <w:t xml:space="preserve">Accuracy</w:t>
            </w:r>
          </w:p>
        </w:tc>
      </w:tr>
      <w:tr>
        <w:tc>
          <w:tcPr>
            <w:tcW w:type="dxa" w:w="6000"/>
            <w:tcMar>
              <w:top w:type="dxa" w:w="80"/>
              <w:left w:type="dxa" w:w="100"/>
              <w:bottom w:type="dxa" w:w="80"/>
              <w:right w:type="dxa" w:w="100"/>
            </w:tcMar>
          </w:tcPr>
          <w:p>
            <w:r>
              <w:t xml:space="preserve">SVM</w:t>
            </w:r>
          </w:p>
        </w:tc>
        <w:tc>
          <w:tcPr>
            <w:tcW w:type="dxa" w:w="3000"/>
            <w:tcMar>
              <w:top w:type="dxa" w:w="80"/>
              <w:left w:type="dxa" w:w="100"/>
              <w:bottom w:type="dxa" w:w="80"/>
              <w:right w:type="dxa" w:w="100"/>
            </w:tcMar>
          </w:tcPr>
          <w:p>
            <w:r>
              <w:t xml:space="preserve">64.44%</w:t>
            </w:r>
          </w:p>
        </w:tc>
      </w:tr>
      <w:tr>
        <w:tc>
          <w:tcPr>
            <w:tcW w:type="dxa" w:w="6000"/>
            <w:tcMar>
              <w:top w:type="dxa" w:w="80"/>
              <w:left w:type="dxa" w:w="100"/>
              <w:bottom w:type="dxa" w:w="80"/>
              <w:right w:type="dxa" w:w="100"/>
            </w:tcMar>
          </w:tcPr>
          <w:p>
            <w:r>
              <w:t xml:space="preserve">Random Forest</w:t>
            </w:r>
          </w:p>
        </w:tc>
        <w:tc>
          <w:tcPr>
            <w:tcW w:type="dxa" w:w="3000"/>
            <w:tcMar>
              <w:top w:type="dxa" w:w="80"/>
              <w:left w:type="dxa" w:w="100"/>
              <w:bottom w:type="dxa" w:w="80"/>
              <w:right w:type="dxa" w:w="100"/>
            </w:tcMar>
          </w:tcPr>
          <w:p>
            <w:r>
              <w:t xml:space="preserve">70.00% (best)</w:t>
            </w:r>
          </w:p>
        </w:tc>
      </w:tr>
    </w:tbl>
    <w:p>
      <w:pPr>
        <w:spacing w:after="160"/>
      </w:pPr>
    </w:p>
    <w:p>
      <w:pPr>
        <w:spacing w:after="160"/>
      </w:pPr>
      <w:r>
        <w:rPr>
          <w:b/>
          <w:bCs/>
        </w:rPr>
        <w:t xml:space="preserve">Key finding — cross-confusion between static states:</w:t>
      </w:r>
      <w:r>
        <w:t xml:space="preserve"> </w:t>
      </w:r>
      <w:r>
        <w:rPr>
          <w:rFonts w:ascii="Consolas" w:cs="Consolas" w:eastAsia="Consolas" w:hAnsi="Consolas"/>
          <w:color w:val="AE2E24"/>
          <w:sz w:val="20"/>
          <w:szCs w:val="20"/>
          <w:shd w:fill="F1F1F1" w:val="clear"/>
        </w:rPr>
        <w:t xml:space="preserve">lying_down</w:t>
      </w:r>
      <w:r>
        <w:t xml:space="preserve">'s recall collapsed from 0.30 (seven-class model) to 0.10 in the combined nine-class model, despite perfect precision (1.00) — the model rarely predicts </w:t>
      </w:r>
      <w:r>
        <w:rPr>
          <w:rFonts w:ascii="Consolas" w:cs="Consolas" w:eastAsia="Consolas" w:hAnsi="Consolas"/>
          <w:color w:val="AE2E24"/>
          <w:sz w:val="20"/>
          <w:szCs w:val="20"/>
          <w:shd w:fill="F1F1F1" w:val="clear"/>
        </w:rPr>
        <w:t xml:space="preserve">lying_down</w:t>
      </w:r>
      <w:r>
        <w:t xml:space="preserve"> at all, but is always correct when it does. This is consistent with </w:t>
      </w:r>
      <w:r>
        <w:rPr>
          <w:rFonts w:ascii="Consolas" w:cs="Consolas" w:eastAsia="Consolas" w:hAnsi="Consolas"/>
          <w:color w:val="AE2E24"/>
          <w:sz w:val="20"/>
          <w:szCs w:val="20"/>
          <w:shd w:fill="F1F1F1" w:val="clear"/>
        </w:rPr>
        <w:t xml:space="preserve">lying_down</w:t>
      </w:r>
      <w:r>
        <w:t xml:space="preserve"> being a largely static state after its initial motion, overlapping in amplitude-statistics feature space with the also-static </w:t>
      </w:r>
      <w:r>
        <w:rPr>
          <w:rFonts w:ascii="Consolas" w:cs="Consolas" w:eastAsia="Consolas" w:hAnsi="Consolas"/>
          <w:color w:val="AE2E24"/>
          <w:sz w:val="20"/>
          <w:szCs w:val="20"/>
          <w:shd w:fill="F1F1F1" w:val="clear"/>
        </w:rPr>
        <w:t xml:space="preserve">one_person</w:t>
      </w:r>
      <w:r>
        <w:t xml:space="preserve">/</w:t>
      </w:r>
      <w:r>
        <w:rPr>
          <w:rFonts w:ascii="Consolas" w:cs="Consolas" w:eastAsia="Consolas" w:hAnsi="Consolas"/>
          <w:color w:val="AE2E24"/>
          <w:sz w:val="20"/>
          <w:szCs w:val="20"/>
          <w:shd w:fill="F1F1F1" w:val="clear"/>
        </w:rPr>
        <w:t xml:space="preserve">two_person</w:t>
      </w:r>
      <w:r>
        <w:t xml:space="preserve"> classes. The occupancy classes themselves showed moderate, non-collapsed performance (</w:t>
      </w:r>
      <w:r>
        <w:rPr>
          <w:rFonts w:ascii="Consolas" w:cs="Consolas" w:eastAsia="Consolas" w:hAnsi="Consolas"/>
          <w:color w:val="AE2E24"/>
          <w:sz w:val="20"/>
          <w:szCs w:val="20"/>
          <w:shd w:fill="F1F1F1" w:val="clear"/>
        </w:rPr>
        <w:t xml:space="preserve">one_person</w:t>
      </w:r>
      <w:r>
        <w:t xml:space="preserve">: 0.76 recall / 0.54 precision; </w:t>
      </w:r>
      <w:r>
        <w:rPr>
          <w:rFonts w:ascii="Consolas" w:cs="Consolas" w:eastAsia="Consolas" w:hAnsi="Consolas"/>
          <w:color w:val="AE2E24"/>
          <w:sz w:val="20"/>
          <w:szCs w:val="20"/>
          <w:shd w:fill="F1F1F1" w:val="clear"/>
        </w:rPr>
        <w:t xml:space="preserve">two_person</w:t>
      </w:r>
      <w:r>
        <w:t xml:space="preserve">: 0.53/0.53), suggesting the underlying signal difference between occupant counts is detectable but not cleanly separated by the current feature set once mixed with activity labels.</w:t>
      </w:r>
    </w:p>
    <w:p>
      <w:pPr>
        <w:spacing w:after="160"/>
      </w:pPr>
      <w:r>
        <w:rPr>
          <w:b/>
          <w:bCs/>
        </w:rPr>
        <w:t xml:space="preserve">Interpretation:</w:t>
      </w:r>
      <w:r>
        <w:t xml:space="preserve"> this result should be read as a genuine, informative outcome of an exploratory prototype rather than a failure of either sub-task. It suggests that occupancy detection and activity detection may be better served as two separate classifiers operating on the same CSI stream — each solving a narrower, cleaner problem — rather than as one merged label set. This restructuring was identified but not implemented within the current project scope (see Section 10).</w:t>
      </w:r>
    </w:p>
    <w:p>
      <w:pPr>
        <w:pStyle w:val="Heading1"/>
        <w:spacing w:after="160" w:before="320"/>
      </w:pPr>
      <w:r>
        <w:t xml:space="preserve">8. Live Demonstration and Real-World Validation</w:t>
      </w:r>
    </w:p>
    <w:p>
      <w:pPr>
        <w:pStyle w:val="Heading2"/>
        <w:spacing w:after="120" w:before="240"/>
      </w:pPr>
      <w:r>
        <w:t xml:space="preserve">8.1 classify_batch.py Validation</w:t>
      </w:r>
    </w:p>
    <w:p>
      <w:pPr>
        <w:spacing w:after="160"/>
      </w:pPr>
      <w:r>
        <w:rPr>
          <w:i/>
          <w:iCs/>
        </w:rPr>
        <w:t xml:space="preserve">Note: the live validation described in this section was performed against the original three-class model, prior to the seven-class expansion described in Section 7.2. It is retained here as an accurate record of that validation exercise.</w:t>
      </w:r>
    </w:p>
    <w:p>
      <w:pPr>
        <w:spacing w:after="160"/>
      </w:pPr>
      <w:r>
        <w:rPr>
          <w:rFonts w:ascii="Consolas" w:cs="Consolas" w:eastAsia="Consolas" w:hAnsi="Consolas"/>
          <w:color w:val="AE2E24"/>
          <w:sz w:val="20"/>
          <w:szCs w:val="20"/>
          <w:shd w:fill="F1F1F1" w:val="clear"/>
        </w:rPr>
        <w:t xml:space="preserve">classify_batch.py</w:t>
      </w:r>
      <w:r>
        <w:t xml:space="preserve"> was built as the practical real-time-equivalent inference path, after a true live file-tailing script (</w:t>
      </w:r>
      <w:r>
        <w:rPr>
          <w:rFonts w:ascii="Consolas" w:cs="Consolas" w:eastAsia="Consolas" w:hAnsi="Consolas"/>
          <w:color w:val="AE2E24"/>
          <w:sz w:val="20"/>
          <w:szCs w:val="20"/>
          <w:shd w:fill="F1F1F1" w:val="clear"/>
        </w:rPr>
        <w:t xml:space="preserve">realtime_infer.py</w:t>
      </w:r>
      <w:r>
        <w:t xml:space="preserve">) was abandoned for the same Windows encoding reasons described in Section 4.2. It loads the trained model, scaler, and label encoder, and classifies a freshly captured CSI chunk end-to-end.</w:t>
      </w:r>
    </w:p>
    <w:p>
      <w:pPr>
        <w:spacing w:after="160"/>
      </w:pPr>
      <w:r>
        <w:rPr>
          <w:b/>
          <w:bCs/>
        </w:rPr>
        <w:t xml:space="preserve">Walking validation:</w:t>
      </w:r>
      <w:r>
        <w:t xml:space="preserve"> A live walking session was captured and classified, returning a 55%/45% split between falling and walking — consistent with walking's lower training recall (74%) and its overlap with falling in feature space.</w:t>
      </w:r>
    </w:p>
    <w:p>
      <w:pPr>
        <w:spacing w:after="160"/>
      </w:pPr>
      <w:r>
        <w:rPr>
          <w:b/>
          <w:bCs/>
        </w:rPr>
        <w:t xml:space="preserve">Empty and falling validation:</w:t>
      </w:r>
      <w:r>
        <w:t xml:space="preserve"> Live tests on the two stronger training classes were constrained by an unexpected hardware/network limitation, discovered during debugging (see Section 9.3): the home router appears to enforce a hard cap of approximately 2–3 ICMP replies per capture window, regardless of the ESP32's internal ping frequency. As a result, live validation samples for these two classes were limited to 2–3 CSI readings each — too small a sample to be statistically meaningful on their own. Under these conditions, the falling sample was correctly classified (100%, n=2), while the empty sample was misclassified as falling (100%, n=3). Given the small sample size and a known condition mismatch (WiFi power-save was disabled during this test but not during original training data collection — see Section 9.4), this result should be read as a low-confidence data point rather than a challenge to the model's validated 84.25% test accuracy.</w:t>
      </w:r>
    </w:p>
    <w:p>
      <w:pPr>
        <w:pStyle w:val="Heading2"/>
        <w:spacing w:after="120" w:before="240"/>
      </w:pPr>
      <w:r>
        <w:t xml:space="preserve">8.2 Streamlit Dashboard</w:t>
      </w:r>
    </w:p>
    <w:p>
      <w:pPr>
        <w:spacing w:after="160"/>
      </w:pPr>
      <w:r>
        <w:t xml:space="preserve">A visual dashboard was built to wrap </w:t>
      </w:r>
      <w:r>
        <w:rPr>
          <w:rFonts w:ascii="Consolas" w:cs="Consolas" w:eastAsia="Consolas" w:hAnsi="Consolas"/>
          <w:color w:val="AE2E24"/>
          <w:sz w:val="20"/>
          <w:szCs w:val="20"/>
          <w:shd w:fill="F1F1F1" w:val="clear"/>
        </w:rPr>
        <w:t xml:space="preserve">classify_batch.py</w:t>
      </w:r>
      <w:r>
        <w:t xml:space="preserve"> rather than reimplementing its parsing or classification logic — the dashboard runs the existing script as a subprocess and displays its output as a color-coded verdict card, a per-class breakdown chart, and a per-reading table. This design choice guarantees the dashboard always matches the command-line pipeline's behavior exactly, with no risk of the two drifting out of sync. One environment-specific issue arose during setup: the subprocess call initially invoked a bare </w:t>
      </w:r>
      <w:r>
        <w:rPr>
          <w:rFonts w:ascii="Consolas" w:cs="Consolas" w:eastAsia="Consolas" w:hAnsi="Consolas"/>
          <w:color w:val="AE2E24"/>
          <w:sz w:val="20"/>
          <w:szCs w:val="20"/>
          <w:shd w:fill="F1F1F1" w:val="clear"/>
        </w:rPr>
        <w:t xml:space="preserve">python</w:t>
      </w:r>
      <w:r>
        <w:t xml:space="preserve"> command, which resolved to a different Python installation than the one running the dashboard itself, causing a </w:t>
      </w:r>
      <w:r>
        <w:rPr>
          <w:rFonts w:ascii="Consolas" w:cs="Consolas" w:eastAsia="Consolas" w:hAnsi="Consolas"/>
          <w:color w:val="AE2E24"/>
          <w:sz w:val="20"/>
          <w:szCs w:val="20"/>
          <w:shd w:fill="F1F1F1" w:val="clear"/>
        </w:rPr>
        <w:t xml:space="preserve">ModuleNotFoundError</w:t>
      </w:r>
      <w:r>
        <w:t xml:space="preserve"> for </w:t>
      </w:r>
      <w:r>
        <w:rPr>
          <w:rFonts w:ascii="Consolas" w:cs="Consolas" w:eastAsia="Consolas" w:hAnsi="Consolas"/>
          <w:color w:val="AE2E24"/>
          <w:sz w:val="20"/>
          <w:szCs w:val="20"/>
          <w:shd w:fill="F1F1F1" w:val="clear"/>
        </w:rPr>
        <w:t xml:space="preserve">numpy</w:t>
      </w:r>
      <w:r>
        <w:t xml:space="preserve"> despite it being installed in the correct environment. This was fixed by invoking </w:t>
      </w:r>
      <w:r>
        <w:rPr>
          <w:rFonts w:ascii="Consolas" w:cs="Consolas" w:eastAsia="Consolas" w:hAnsi="Consolas"/>
          <w:color w:val="AE2E24"/>
          <w:sz w:val="20"/>
          <w:szCs w:val="20"/>
          <w:shd w:fill="F1F1F1" w:val="clear"/>
        </w:rPr>
        <w:t xml:space="preserve">sys.executable</w:t>
      </w:r>
      <w:r>
        <w:t xml:space="preserve"> instead, guaranteeing the subprocess uses the same interpreter already running the dashboard.</w:t>
      </w:r>
    </w:p>
    <w:p>
      <w:pPr>
        <w:pStyle w:val="Heading1"/>
        <w:spacing w:after="160" w:before="320"/>
      </w:pPr>
      <w:r>
        <w:t xml:space="preserve">9. Challenges and Engineering Insights</w:t>
      </w:r>
    </w:p>
    <w:p>
      <w:pPr>
        <w:spacing w:after="160"/>
      </w:pPr>
      <w:r>
        <w:t xml:space="preserve">This section documents the debugging process behind the live data-rate investigation, since it represents a substantial share of the project's engineering effort and offers transferable lessons for similar commodity-hardware CSI projects.</w:t>
      </w:r>
    </w:p>
    <w:p>
      <w:pPr>
        <w:pStyle w:val="Heading2"/>
        <w:spacing w:after="120" w:before="240"/>
      </w:pPr>
      <w:r>
        <w:t xml:space="preserve">9.1 Windows Serial Encoding Issues</w:t>
      </w:r>
    </w:p>
    <w:p>
      <w:pPr>
        <w:spacing w:after="160"/>
      </w:pPr>
      <w:r>
        <w:t xml:space="preserve">As noted in Section 4.2, both </w:t>
      </w:r>
      <w:r>
        <w:rPr>
          <w:rFonts w:ascii="Consolas" w:cs="Consolas" w:eastAsia="Consolas" w:hAnsi="Consolas"/>
          <w:color w:val="AE2E24"/>
          <w:sz w:val="20"/>
          <w:szCs w:val="20"/>
          <w:shd w:fill="F1F1F1" w:val="clear"/>
        </w:rPr>
        <w:t xml:space="preserve">pyserial</w:t>
      </w:r>
      <w:r>
        <w:t xml:space="preserve">-based capture and subprocess-piped </w:t>
      </w:r>
      <w:r>
        <w:rPr>
          <w:rFonts w:ascii="Consolas" w:cs="Consolas" w:eastAsia="Consolas" w:hAnsi="Consolas"/>
          <w:color w:val="AE2E24"/>
          <w:sz w:val="20"/>
          <w:szCs w:val="20"/>
          <w:shd w:fill="F1F1F1" w:val="clear"/>
        </w:rPr>
        <w:t xml:space="preserve">idf.py monitor</w:t>
      </w:r>
      <w:r>
        <w:t xml:space="preserve"> output failed due to Windows' default encoding behavior (UTF-16 BOM handling, </w:t>
      </w:r>
      <w:r>
        <w:rPr>
          <w:rFonts w:ascii="Consolas" w:cs="Consolas" w:eastAsia="Consolas" w:hAnsi="Consolas"/>
          <w:color w:val="AE2E24"/>
          <w:sz w:val="20"/>
          <w:szCs w:val="20"/>
          <w:shd w:fill="F1F1F1" w:val="clear"/>
        </w:rPr>
        <w:t xml:space="preserve">cp1252</w:t>
      </w:r>
      <w:r>
        <w:t xml:space="preserve"> fallback) conflicting with the UTF-8 the ESP-IDF toolchain expects. This was resolved by adopting a manual copy-paste-to-Notepad workflow with explicit UTF-8 saving.</w:t>
      </w:r>
    </w:p>
    <w:p>
      <w:pPr>
        <w:pStyle w:val="Heading2"/>
        <w:spacing w:after="120" w:before="240"/>
      </w:pPr>
      <w:r>
        <w:t xml:space="preserve">9.2 DHCP IP Reassignment</w:t>
      </w:r>
    </w:p>
    <w:p>
      <w:pPr>
        <w:spacing w:after="160"/>
      </w:pPr>
      <w:r>
        <w:t xml:space="preserve">The ESP32's IP address (assigned via DHCP from the home router) changed between reconnects (observed values included </w:t>
      </w:r>
      <w:r>
        <w:rPr>
          <w:rFonts w:ascii="Consolas" w:cs="Consolas" w:eastAsia="Consolas" w:hAnsi="Consolas"/>
          <w:color w:val="AE2E24"/>
          <w:sz w:val="20"/>
          <w:szCs w:val="20"/>
          <w:shd w:fill="F1F1F1" w:val="clear"/>
        </w:rPr>
        <w:t xml:space="preserve">192.168.1.7</w:t>
      </w:r>
      <w:r>
        <w:t xml:space="preserve">, </w:t>
      </w:r>
      <w:r>
        <w:rPr>
          <w:rFonts w:ascii="Consolas" w:cs="Consolas" w:eastAsia="Consolas" w:hAnsi="Consolas"/>
          <w:color w:val="AE2E24"/>
          <w:sz w:val="20"/>
          <w:szCs w:val="20"/>
          <w:shd w:fill="F1F1F1" w:val="clear"/>
        </w:rPr>
        <w:t xml:space="preserve">192.168.1.8</w:t>
      </w:r>
      <w:r>
        <w:t xml:space="preserve">, and </w:t>
      </w:r>
      <w:r>
        <w:rPr>
          <w:rFonts w:ascii="Consolas" w:cs="Consolas" w:eastAsia="Consolas" w:hAnsi="Consolas"/>
          <w:color w:val="AE2E24"/>
          <w:sz w:val="20"/>
          <w:szCs w:val="20"/>
          <w:shd w:fill="F1F1F1" w:val="clear"/>
        </w:rPr>
        <w:t xml:space="preserve">192.168.1.10</w:t>
      </w:r>
      <w:r>
        <w:t xml:space="preserve">), which repeatedly broke external ping-based testing until the current IP was re-confirmed from the device's own boot log each session.</w:t>
      </w:r>
    </w:p>
    <w:p>
      <w:pPr>
        <w:pStyle w:val="Heading2"/>
        <w:spacing w:after="120" w:before="240"/>
      </w:pPr>
      <w:r>
        <w:t xml:space="preserve">9.3 Discovering the True CSI Trigger Mechanism</w:t>
      </w:r>
    </w:p>
    <w:p>
      <w:pPr>
        <w:spacing w:after="160"/>
      </w:pPr>
      <w:r>
        <w:t xml:space="preserve">Initial debugging assumed that increasing the </w:t>
      </w:r>
      <w:r>
        <w:rPr>
          <w:i/>
          <w:iCs/>
        </w:rPr>
        <w:t xml:space="preserve">external</w:t>
      </w:r>
      <w:r>
        <w:t xml:space="preserve"> ping rate (from the laptop to the ESP32's IP) would increase the CSI capture rate. After extensive testing — including progressively faster ping implementations — this showed no measurable effect. Consulting Espressif's own documentation clarified the actual mechanism: </w:t>
      </w:r>
      <w:r>
        <w:rPr>
          <w:rFonts w:ascii="Consolas" w:cs="Consolas" w:eastAsia="Consolas" w:hAnsi="Consolas"/>
          <w:color w:val="AE2E24"/>
          <w:sz w:val="20"/>
          <w:szCs w:val="20"/>
          <w:shd w:fill="F1F1F1" w:val="clear"/>
        </w:rPr>
        <w:t xml:space="preserve">csi_recv_router</w:t>
      </w:r>
      <w:r>
        <w:t xml:space="preserve"> runs its own internal ping loop </w:t>
      </w:r>
      <w:r>
        <w:rPr>
          <w:i/>
          <w:iCs/>
        </w:rPr>
        <w:t xml:space="preserve">from the ESP32 to the router</w:t>
      </w:r>
      <w:r>
        <w:t xml:space="preserve">, controlled by a </w:t>
      </w:r>
      <w:r>
        <w:rPr>
          <w:rFonts w:ascii="Consolas" w:cs="Consolas" w:eastAsia="Consolas" w:hAnsi="Consolas"/>
          <w:color w:val="AE2E24"/>
          <w:sz w:val="20"/>
          <w:szCs w:val="20"/>
          <w:shd w:fill="F1F1F1" w:val="clear"/>
        </w:rPr>
        <w:t xml:space="preserve">CONFIG_SEND_FREQUENCY</w:t>
      </w:r>
      <w:r>
        <w:t xml:space="preserve"> macro (default 100Hz). CSI is extracted from the router's replies to this internal loop, entirely independent of any external network traffic.</w:t>
      </w:r>
    </w:p>
    <w:p>
      <w:pPr>
        <w:pStyle w:val="Heading2"/>
        <w:spacing w:after="120" w:before="240"/>
      </w:pPr>
      <w:r>
        <w:t xml:space="preserve">9.4 WiFi Power-Save Interference</w:t>
      </w:r>
    </w:p>
    <w:p>
      <w:pPr>
        <w:spacing w:after="160"/>
      </w:pPr>
      <w:r>
        <w:t xml:space="preserve">The default firmware left WiFi power-save mode enabled (</w:t>
      </w:r>
      <w:r>
        <w:rPr>
          <w:rFonts w:ascii="Consolas" w:cs="Consolas" w:eastAsia="Consolas" w:hAnsi="Consolas"/>
          <w:color w:val="AE2E24"/>
          <w:sz w:val="20"/>
          <w:szCs w:val="20"/>
          <w:shd w:fill="F1F1F1" w:val="clear"/>
        </w:rPr>
        <w:t xml:space="preserve">wifi:pm start, type: 1</w:t>
      </w:r>
      <w:r>
        <w:t xml:space="preserve"> in the boot log). Power-save allows the radio to sleep between beacon intervals, which likely caused many of the 100 internal pings/second to go uncaptured. Adding </w:t>
      </w:r>
      <w:r>
        <w:rPr>
          <w:rFonts w:ascii="Consolas" w:cs="Consolas" w:eastAsia="Consolas" w:hAnsi="Consolas"/>
          <w:color w:val="AE2E24"/>
          <w:sz w:val="20"/>
          <w:szCs w:val="20"/>
          <w:shd w:fill="F1F1F1" w:val="clear"/>
        </w:rPr>
        <w:t xml:space="preserve">esp_wifi_set_ps(WIFI_PS_NONE);</w:t>
      </w:r>
      <w:r>
        <w:t xml:space="preserve"> immediately after </w:t>
      </w:r>
      <w:r>
        <w:rPr>
          <w:rFonts w:ascii="Consolas" w:cs="Consolas" w:eastAsia="Consolas" w:hAnsi="Consolas"/>
          <w:color w:val="AE2E24"/>
          <w:sz w:val="20"/>
          <w:szCs w:val="20"/>
          <w:shd w:fill="F1F1F1" w:val="clear"/>
        </w:rPr>
        <w:t xml:space="preserve">example_connect()</w:t>
      </w:r>
      <w:r>
        <w:t xml:space="preserve"> in </w:t>
      </w:r>
      <w:r>
        <w:rPr>
          <w:rFonts w:ascii="Consolas" w:cs="Consolas" w:eastAsia="Consolas" w:hAnsi="Consolas"/>
          <w:color w:val="AE2E24"/>
          <w:sz w:val="20"/>
          <w:szCs w:val="20"/>
          <w:shd w:fill="F1F1F1" w:val="clear"/>
        </w:rPr>
        <w:t xml:space="preserve">app_main()</w:t>
      </w:r>
      <w:r>
        <w:t xml:space="preserve"> disabled power-save. This is a reasonable general practice for any latency-sensitive WiFi application on ESP32.</w:t>
      </w:r>
    </w:p>
    <w:p>
      <w:pPr>
        <w:pStyle w:val="Heading2"/>
        <w:spacing w:after="120" w:before="240"/>
      </w:pPr>
      <w:r>
        <w:t xml:space="preserve">9.5 Router-Side ICMP Rate Limiting</w:t>
      </w:r>
    </w:p>
    <w:p>
      <w:pPr>
        <w:spacing w:after="160"/>
      </w:pPr>
      <w:r>
        <w:t xml:space="preserve">Even with power-save disabled, CSI capture consistently plateaued at approximately 2–3 packets per capture window — a pattern that held constant across three different internal ping frequencies (100Hz, 10Hz, 2Hz). Because slowing the ping rate did not increase the number of successful replies, this points to a fixed burst-size limit in the router's own ICMP flood/DoS protection, rather than a rate-based throttle. This is a hardware/network constraint outside the ESP32 firmware's control, and represents a practical limitation of router-based CSI extraction on consumer-grade routers.</w:t>
      </w:r>
    </w:p>
    <w:p>
      <w:pPr>
        <w:pStyle w:val="Heading2"/>
        <w:spacing w:after="120" w:before="240"/>
      </w:pPr>
      <w:r>
        <w:t xml:space="preserve">9.6 Alternative Considered: ESP32-to-ESP32 (ESP-NOW)</w:t>
      </w:r>
    </w:p>
    <w:p>
      <w:pPr>
        <w:spacing w:after="160"/>
      </w:pPr>
      <w:r>
        <w:t xml:space="preserve">An ESP-NOW-based direct link between two ESP32 boards (</w:t>
      </w:r>
      <w:r>
        <w:rPr>
          <w:rFonts w:ascii="Consolas" w:cs="Consolas" w:eastAsia="Consolas" w:hAnsi="Consolas"/>
          <w:color w:val="AE2E24"/>
          <w:sz w:val="20"/>
          <w:szCs w:val="20"/>
          <w:shd w:fill="F1F1F1" w:val="clear"/>
        </w:rPr>
        <w:t xml:space="preserve">csi_send</w:t>
      </w:r>
      <w:r>
        <w:t xml:space="preserve">/</w:t>
      </w:r>
      <w:r>
        <w:rPr>
          <w:rFonts w:ascii="Consolas" w:cs="Consolas" w:eastAsia="Consolas" w:hAnsi="Consolas"/>
          <w:color w:val="AE2E24"/>
          <w:sz w:val="20"/>
          <w:szCs w:val="20"/>
          <w:shd w:fill="F1F1F1" w:val="clear"/>
        </w:rPr>
        <w:t xml:space="preserve">csi_recv</w:t>
      </w:r>
      <w:r>
        <w:t xml:space="preserve">) was considered as an alternative that would remove the router as a dependency entirely, since the sending board's broadcast rate would be fully configurable and not subject to router-side throttling. This was not pursued for the current dataset, since switching would require recollecting the training data under the new physical link — a full re-collection outside the current project's scope.</w:t>
      </w:r>
    </w:p>
    <w:p>
      <w:pPr>
        <w:pStyle w:val="Heading2"/>
        <w:spacing w:after="120" w:before="240"/>
      </w:pPr>
      <w:r>
        <w:t xml:space="preserve">9.7 Timestamp-Collision Overwrite Bug During Batch Parsing</w:t>
      </w:r>
    </w:p>
    <w:p>
      <w:pPr>
        <w:spacing w:after="160"/>
      </w:pPr>
      <w:r>
        <w:t xml:space="preserve">When batch-processing the 15 reset-cycle capture files per new activity class through </w:t>
      </w:r>
      <w:r>
        <w:rPr>
          <w:rFonts w:ascii="Consolas" w:cs="Consolas" w:eastAsia="Consolas" w:hAnsi="Consolas"/>
          <w:color w:val="AE2E24"/>
          <w:sz w:val="20"/>
          <w:szCs w:val="20"/>
          <w:shd w:fill="F1F1F1" w:val="clear"/>
        </w:rPr>
        <w:t xml:space="preserve">parse_csi_log.py</w:t>
      </w:r>
      <w:r>
        <w:t xml:space="preserve"> in a tight PowerShell loop, the script's output filenames (auto-generated from a second-resolution timestamp) collided: multiple input files processed within the same second silently overwrote each other's output CSV, since the parser does not append or check for existing files. A first parsing pass reduced what should have been 15 output files to as few as 3, with most of a completed capture session's data silently lost. This was caught by manually cross-checking output filenames against the expected round count before proceeding — a step worth budgeting for in any similar batch-processing pipeline. The fix was to insert a one-second delay between iterations:</w:t>
      </w:r>
    </w:p>
    <w:p>
      <w:pPr>
        <w:pBdr>
          <w:top w:val="single" w:color="DDDDDD" w:sz="2"/>
          <w:bottom w:val="single" w:color="DDDDDD" w:sz="2"/>
          <w:left w:val="single" w:color="DDDDDD" w:sz="2"/>
          <w:right w:val="single" w:color="DDDDDD" w:sz="2"/>
        </w:pBdr>
        <w:shd w:fill="F1F1F1" w:val="clear"/>
        <w:spacing w:after="160"/>
      </w:pPr>
      <w:r>
        <w:rPr>
          <w:rFonts w:ascii="Consolas" w:cs="Consolas" w:eastAsia="Consolas" w:hAnsi="Consolas"/>
          <w:sz w:val="19"/>
          <w:szCs w:val="19"/>
        </w:rPr>
        <w:t xml:space="preserve">Get-ChildItem sitstand_*.txt | ForEach-Object { python parse_csi_log.py $_.Name sitting_standing; Start-Sleep -Seconds 1 }</w:t>
      </w:r>
    </w:p>
    <w:p>
      <w:pPr>
        <w:spacing w:after="160"/>
      </w:pPr>
      <w:r>
        <w:t xml:space="preserve">This is a general caution for any script whose output naming depends on a timestamp with coarser resolution than the loop's iteration speed.</w:t>
      </w:r>
    </w:p>
    <w:p>
      <w:pPr>
        <w:pStyle w:val="Heading2"/>
        <w:spacing w:after="120" w:before="240"/>
      </w:pPr>
      <w:r>
        <w:t xml:space="preserve">9.8 Multi-Occupant Household Confound</w:t>
      </w:r>
    </w:p>
    <w:p>
      <w:pPr>
        <w:spacing w:after="160"/>
      </w:pPr>
      <w:r>
        <w:t xml:space="preserve">The reset-cycle data collection for the four new activity classes took place in a normally-occupied household, rather than a fully isolated single-person environment. Since CSI reflects the entire signal path and is dominated by activity nearest the receiver, the labeled activity performed by the person directly in front of the ESP32 is expected to dominate each sample. However, incidental movement by other household members elsewhere in range during capture windows cannot be fully ruled out as a minor source of noise. This is disclosed here as a methodological limitation rather than a controlled-lab assumption.</w:t>
      </w:r>
    </w:p>
    <w:p>
      <w:pPr>
        <w:pStyle w:val="Heading1"/>
        <w:spacing w:after="160" w:before="320"/>
      </w:pPr>
      <w:r>
        <w:t xml:space="preserve">10. Future Work</w:t>
      </w:r>
    </w:p>
    <w:p>
      <w:pPr>
        <w:pStyle w:val="ListParagraph"/>
        <w:numPr>
          <w:ilvl w:val="0"/>
          <w:numId w:val="1"/>
        </w:numPr>
        <w:spacing w:after="80"/>
      </w:pPr>
      <w:r>
        <w:rPr>
          <w:b/>
          <w:bCs/>
        </w:rPr>
        <w:t xml:space="preserve">More data for the four new classes:</w:t>
      </w:r>
      <w:r>
        <w:t xml:space="preserve"> Sitting/standing, lying down, running, and bending currently have 37–47 samples each, versus 187–229 for the original three classes; additional reset-cycle collection rounds (Section 4.3) would directly address their weaker recall (Section 7.3).</w:t>
      </w:r>
    </w:p>
    <w:p>
      <w:pPr>
        <w:pStyle w:val="ListParagraph"/>
        <w:numPr>
          <w:ilvl w:val="0"/>
          <w:numId w:val="1"/>
        </w:numPr>
        <w:spacing w:after="80"/>
      </w:pPr>
      <w:r>
        <w:rPr>
          <w:b/>
          <w:bCs/>
        </w:rPr>
        <w:t xml:space="preserve">FFT-based features:</w:t>
      </w:r>
      <w:r>
        <w:t xml:space="preserve"> Frequency-domain features may better separate classes whose time-domain amplitude statistics currently overlap.</w:t>
      </w:r>
    </w:p>
    <w:p>
      <w:pPr>
        <w:pStyle w:val="ListParagraph"/>
        <w:numPr>
          <w:ilvl w:val="0"/>
          <w:numId w:val="1"/>
        </w:numPr>
        <w:spacing w:after="80"/>
      </w:pPr>
      <w:r>
        <w:rPr>
          <w:b/>
          <w:bCs/>
        </w:rPr>
        <w:t xml:space="preserve">Live, real-time operation:</w:t>
      </w:r>
      <w:r>
        <w:t xml:space="preserve"> The current system operates in batch mode — captures are manually saved and classified after the fact via </w:t>
      </w:r>
      <w:r>
        <w:rPr>
          <w:rFonts w:ascii="Consolas" w:cs="Consolas" w:eastAsia="Consolas" w:hAnsi="Consolas"/>
          <w:color w:val="AE2E24"/>
          <w:sz w:val="20"/>
          <w:szCs w:val="20"/>
          <w:shd w:fill="F1F1F1" w:val="clear"/>
        </w:rPr>
        <w:t xml:space="preserve">classify_batch.py</w:t>
      </w:r>
      <w:r>
        <w:t xml:space="preserve"> or the dashboard (Section 8.2), not continuously in real time. True live operation is blocked by two unresolved constraints from earlier in this project: automated serial capture without a human copy-pasting (attempted via </w:t>
      </w:r>
      <w:r>
        <w:rPr>
          <w:rFonts w:ascii="Consolas" w:cs="Consolas" w:eastAsia="Consolas" w:hAnsi="Consolas"/>
          <w:color w:val="AE2E24"/>
          <w:sz w:val="20"/>
          <w:szCs w:val="20"/>
          <w:shd w:fill="F1F1F1" w:val="clear"/>
        </w:rPr>
        <w:t xml:space="preserve">pyserial</w:t>
      </w:r>
      <w:r>
        <w:t xml:space="preserve"> and abandoned — Section 9.1) and sustaining continuous CSI flow without manual ESP32 resets (Section 4.3, Section 9.5). An ESP-NOW-based architecture (Section 9.6) would remove the second constraint entirely, since a continuously broadcasting sender needs no router and no resets; pairing that with on-device inference on the receiving ESP32 (rather than a laptop script) would address the first as well.</w:t>
      </w:r>
    </w:p>
    <w:p>
      <w:pPr>
        <w:pStyle w:val="ListParagraph"/>
        <w:numPr>
          <w:ilvl w:val="0"/>
          <w:numId w:val="1"/>
        </w:numPr>
        <w:spacing w:after="80"/>
      </w:pPr>
      <w:r>
        <w:rPr>
          <w:b/>
          <w:bCs/>
        </w:rPr>
        <w:t xml:space="preserve">ESP-NOW-based data collection:</w:t>
      </w:r>
      <w:r>
        <w:t xml:space="preserve"> Revisiting the two-ESP32 direct-link architecture (Section 9.6) could remove router-side rate limiting as a constraint for both future data collection and live validation work.</w:t>
      </w:r>
    </w:p>
    <w:p>
      <w:pPr>
        <w:pStyle w:val="ListParagraph"/>
        <w:numPr>
          <w:ilvl w:val="0"/>
          <w:numId w:val="1"/>
        </w:numPr>
        <w:spacing w:after="80"/>
      </w:pPr>
      <w:r>
        <w:rPr>
          <w:b/>
          <w:bCs/>
        </w:rPr>
        <w:t xml:space="preserve">Split occupancy and activity into two separate classifiers:</w:t>
      </w:r>
      <w:r>
        <w:t xml:space="preserve"> The combined nine-class model (Section 7.4) showed cross-confusion between static activity states and occupancy states, particularly </w:t>
      </w:r>
      <w:r>
        <w:rPr>
          <w:rFonts w:ascii="Consolas" w:cs="Consolas" w:eastAsia="Consolas" w:hAnsi="Consolas"/>
          <w:color w:val="AE2E24"/>
          <w:sz w:val="20"/>
          <w:szCs w:val="20"/>
          <w:shd w:fill="F1F1F1" w:val="clear"/>
        </w:rPr>
        <w:t xml:space="preserve">lying_down</w:t>
      </w:r>
      <w:r>
        <w:t xml:space="preserve"> collapsing toward </w:t>
      </w:r>
      <w:r>
        <w:rPr>
          <w:rFonts w:ascii="Consolas" w:cs="Consolas" w:eastAsia="Consolas" w:hAnsi="Consolas"/>
          <w:color w:val="AE2E24"/>
          <w:sz w:val="20"/>
          <w:szCs w:val="20"/>
          <w:shd w:fill="F1F1F1" w:val="clear"/>
        </w:rPr>
        <w:t xml:space="preserve">one_person</w:t>
      </w:r>
      <w:r>
        <w:t xml:space="preserve">/</w:t>
      </w:r>
      <w:r>
        <w:rPr>
          <w:rFonts w:ascii="Consolas" w:cs="Consolas" w:eastAsia="Consolas" w:hAnsi="Consolas"/>
          <w:color w:val="AE2E24"/>
          <w:sz w:val="20"/>
          <w:szCs w:val="20"/>
          <w:shd w:fill="F1F1F1" w:val="clear"/>
        </w:rPr>
        <w:t xml:space="preserve">two_person</w:t>
      </w:r>
      <w:r>
        <w:t xml:space="preserve">. Training occupancy count and activity type as two independent classifiers over the same CSI stream is the concrete next step suggested by this finding, rather than continuing to merge them into one label set.</w:t>
      </w:r>
    </w:p>
    <w:p>
      <w:pPr>
        <w:pStyle w:val="ListParagraph"/>
        <w:numPr>
          <w:ilvl w:val="0"/>
          <w:numId w:val="1"/>
        </w:numPr>
        <w:spacing w:after="80"/>
      </w:pPr>
      <w:r>
        <w:rPr>
          <w:b/>
          <w:bCs/>
        </w:rPr>
        <w:t xml:space="preserve">Apply the unhurried reset-cycle pacing to the weaker activity classes:</w:t>
      </w:r>
      <w:r>
        <w:t xml:space="preserve"> The occupancy classes (136–137 samples each) were collected with a more unhurried pace between resets than the original four activity classes (37–47 samples each) and yielded substantially more data; revisiting bending, sitting/standing, running, and lying down with the same pacing is a low-effort way to test whether their weaker recall (Section 7.3) is partly a data-volume artifact.</w:t>
      </w:r>
    </w:p>
    <w:p>
      <w:pPr>
        <w:pStyle w:val="Heading1"/>
        <w:spacing w:after="160" w:before="320"/>
      </w:pPr>
      <w:r>
        <w:t xml:space="preserve">11. Conclusion</w:t>
      </w:r>
    </w:p>
    <w:p>
      <w:pPr>
        <w:spacing w:after="160"/>
      </w:pPr>
      <w:r>
        <w:t xml:space="preserve">This project demonstrates a working, low-cost, contactless human activity and fall detection system using WiFi CSI on ESP32 hardware. Starting from an 84.25%-accurate three-class system, it was expanded to a seven-class system (empty, falling, walking, sitting/standing, lying down, running, bending) achieving 74.75% test accuracy with a Random Forest classifier — a reduction in overall accuracy that is directly explained by the harder multi-class problem and a pronounced class-size imbalance rather than any degradation of the original system, whose three original classes held steady or improved. An exploratory occupancy-detection prototype was subsequently added and, while not achieving clean separation when merged with the activity classes, produced a concrete, actionable finding: occupancy and activity are likely better modeled as two separate classifiers over the same CSI stream. Beyond the machine learning results, the project surfaced a series of real Windows-, network-, and pipeline-specific engineering constraints — from serial encoding failures to a router-side ICMP burst cap to a timestamp-collision data-loss bug — each diagnosed and either resolved or clearly documented as a known limitation. The result is both a functioning seven-class classification pipeline and a transparent account of the practical challenges involved in deploying commodity WiFi sensing outside a controlled lab environment.</w:t>
      </w:r>
    </w:p>
    <w:p>
      <w:pPr>
        <w:pStyle w:val="Heading1"/>
        <w:spacing w:after="160" w:before="320"/>
      </w:pPr>
      <w:r>
        <w:t xml:space="preserve">References</w:t>
      </w:r>
    </w:p>
    <w:p>
      <w:pPr>
        <w:spacing w:after="80"/>
      </w:pPr>
      <w:r>
        <w:t>1. Y. Ma, G. Zhou and S. Wang, "WiFi Sensing with Channel State Information: A Survey," ACM Computing Surveys, vol. 52, no. 3, Article 46, 2019.</w:t>
      </w:r>
      <w:r/>
    </w:p>
    <w:p>
      <w:pPr>
        <w:spacing w:after="80"/>
      </w:pPr>
      <w:r>
        <w:t xml:space="preserve">2. </w:t>
      </w:r>
      <w:r>
        <w:t xml:space="preserve">Espressif Systems, </w:t>
      </w:r>
      <w:r>
        <w:rPr>
          <w:rFonts w:ascii="Consolas" w:cs="Consolas" w:eastAsia="Consolas" w:hAnsi="Consolas"/>
          <w:color w:val="AE2E24"/>
          <w:sz w:val="20"/>
          <w:szCs w:val="20"/>
          <w:shd w:fill="F1F1F1" w:val="clear"/>
        </w:rPr>
        <w:t xml:space="preserve">esp-csi</w:t>
      </w:r>
      <w:r>
        <w:t xml:space="preserve"> repository: https://github.com/espressif/esp-csi</w:t>
      </w:r>
    </w:p>
    <w:p>
      <w:pPr>
        <w:spacing w:after="80"/>
      </w:pPr>
      <w:r>
        <w:t>3. F. Pedregosa et al., "Scikit-learn: Machine Learning in Python," Journal of Machine Learning Research, vol. 12, pp. 2825-2830, 2011.</w:t>
      </w: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2026-09-14T09:00:07.639Z</dcterms:created>
  <dcterms:modified xsi:type="dcterms:W3CDTF">2026-09-14T09:00:07.649Z</dcterms:modified>
</cp:coreProperties>
</file>

<file path=docProps/custom.xml><?xml version="1.0" encoding="utf-8"?>
<Properties xmlns="http://schemas.openxmlformats.org/officeDocument/2006/custom-properties" xmlns:vt="http://schemas.openxmlformats.org/officeDocument/2006/docPropsVTypes"/>
</file>