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7E318" w14:textId="12FB55D1" w:rsidR="003256A8" w:rsidRPr="003256A8" w:rsidRDefault="003256A8" w:rsidP="003256A8"/>
    <w:p w14:paraId="01F000A4" w14:textId="77777777" w:rsidR="003256A8" w:rsidRPr="003256A8" w:rsidRDefault="003256A8" w:rsidP="003256A8">
      <w:pPr>
        <w:rPr>
          <w:b/>
          <w:bCs/>
        </w:rPr>
      </w:pPr>
      <w:r w:rsidRPr="003256A8">
        <w:rPr>
          <w:b/>
          <w:bCs/>
        </w:rPr>
        <w:t>Task 1 — Selection and Research</w:t>
      </w:r>
    </w:p>
    <w:p w14:paraId="6F553CDC" w14:textId="77777777" w:rsidR="003256A8" w:rsidRPr="003256A8" w:rsidRDefault="003256A8" w:rsidP="003256A8">
      <w:pPr>
        <w:rPr>
          <w:b/>
          <w:bCs/>
        </w:rPr>
      </w:pPr>
      <w:r w:rsidRPr="003256A8">
        <w:rPr>
          <w:b/>
          <w:bCs/>
        </w:rPr>
        <w:t>1.1 The Entity: HSBC</w:t>
      </w:r>
    </w:p>
    <w:p w14:paraId="340CC759" w14:textId="77777777" w:rsidR="003256A8" w:rsidRPr="003256A8" w:rsidRDefault="003256A8" w:rsidP="003256A8">
      <w:r w:rsidRPr="003256A8">
        <w:t xml:space="preserve">I chose </w:t>
      </w:r>
      <w:r w:rsidRPr="003256A8">
        <w:rPr>
          <w:b/>
          <w:bCs/>
        </w:rPr>
        <w:t>HSBC Holdings plc</w:t>
      </w:r>
      <w:r w:rsidRPr="003256A8">
        <w:t xml:space="preserve"> as my regulated entity, focusing on its US retail banking arm, </w:t>
      </w:r>
      <w:r w:rsidRPr="003256A8">
        <w:rPr>
          <w:b/>
          <w:bCs/>
        </w:rPr>
        <w:t>HSBC Bank USA, N.A.</w:t>
      </w:r>
      <w:r w:rsidRPr="003256A8">
        <w:t xml:space="preserve">, and its UK retail bank, </w:t>
      </w:r>
      <w:r w:rsidRPr="003256A8">
        <w:rPr>
          <w:b/>
          <w:bCs/>
        </w:rPr>
        <w:t>HSBC UK Bank plc</w:t>
      </w:r>
      <w:r w:rsidRPr="003256A8">
        <w:t>.</w:t>
      </w:r>
    </w:p>
    <w:p w14:paraId="694882A9" w14:textId="77777777" w:rsidR="003256A8" w:rsidRPr="003256A8" w:rsidRDefault="003256A8" w:rsidP="003256A8">
      <w:r w:rsidRPr="003256A8">
        <w:t xml:space="preserve">The reason is straightforward: HSBC is not just a bank with small foreign operations. It operates at scale in both the US and the UK, with real retail banking, mortgage, lending, and credit decisioning activity in both markets. In the US, HSBC Bank USA operates in a regulatory environment shaped by the </w:t>
      </w:r>
      <w:r w:rsidRPr="003256A8">
        <w:rPr>
          <w:b/>
          <w:bCs/>
        </w:rPr>
        <w:t>OCC</w:t>
      </w:r>
      <w:r w:rsidRPr="003256A8">
        <w:t xml:space="preserve">, US consumer finance law, ECOA, Regulation B, HMDA, and fair-lending expectations. In the UK, HSBC UK Bank plc is regulated by the </w:t>
      </w:r>
      <w:r w:rsidRPr="003256A8">
        <w:rPr>
          <w:b/>
          <w:bCs/>
        </w:rPr>
        <w:t>FCA</w:t>
      </w:r>
      <w:r w:rsidRPr="003256A8">
        <w:t xml:space="preserve"> and </w:t>
      </w:r>
      <w:r w:rsidRPr="003256A8">
        <w:rPr>
          <w:b/>
          <w:bCs/>
        </w:rPr>
        <w:t>PRA</w:t>
      </w:r>
      <w:r w:rsidRPr="003256A8">
        <w:t>, and is subject to the Equality Act 2010, FCA Consumer Duty, and SM&amp;CR.</w:t>
      </w:r>
    </w:p>
    <w:p w14:paraId="1DC98BBA" w14:textId="77777777" w:rsidR="003256A8" w:rsidRPr="003256A8" w:rsidRDefault="003256A8" w:rsidP="003256A8">
      <w:r w:rsidRPr="003256A8">
        <w:t xml:space="preserve">HSBC is also useful as a case study because it has a complicated compliance history. In 2012, HSBC agreed to pay about </w:t>
      </w:r>
      <w:r w:rsidRPr="003256A8">
        <w:rPr>
          <w:b/>
          <w:bCs/>
        </w:rPr>
        <w:t>USD 1.9 billion</w:t>
      </w:r>
      <w:r w:rsidRPr="003256A8">
        <w:t xml:space="preserve"> in the US for AML and sanctions-control failures. It has also faced UK regulatory scrutiny, including PRA action over depositor protection failings. This makes the compliance design question less theoretical.</w:t>
      </w:r>
    </w:p>
    <w:p w14:paraId="58021B7C" w14:textId="77777777" w:rsidR="003256A8" w:rsidRPr="003256A8" w:rsidRDefault="003256A8" w:rsidP="003256A8">
      <w:r w:rsidRPr="003256A8">
        <w:t>HSBC is also large enough that credit decisions cannot be made manually at scale. Automated models and scorecards are operationally necessary for a bank of this size. That is what makes fair lending and algorithmic fairness a live issue rather than a hypothetical one.</w:t>
      </w:r>
    </w:p>
    <w:p w14:paraId="63E557BC" w14:textId="4F17EE7E" w:rsidR="003256A8" w:rsidRPr="003256A8" w:rsidRDefault="003256A8" w:rsidP="003256A8"/>
    <w:p w14:paraId="7063B284" w14:textId="77777777" w:rsidR="003256A8" w:rsidRPr="003256A8" w:rsidRDefault="003256A8" w:rsidP="003256A8">
      <w:pPr>
        <w:rPr>
          <w:b/>
          <w:bCs/>
        </w:rPr>
      </w:pPr>
      <w:r w:rsidRPr="003256A8">
        <w:rPr>
          <w:b/>
          <w:bCs/>
        </w:rPr>
        <w:t>1.2 The Domain: Fair Lending and Algorithmic Credit Fairness</w:t>
      </w:r>
    </w:p>
    <w:p w14:paraId="3BC46F62" w14:textId="77777777" w:rsidR="003256A8" w:rsidRPr="003256A8" w:rsidRDefault="003256A8" w:rsidP="003256A8">
      <w:r w:rsidRPr="003256A8">
        <w:t xml:space="preserve">I selected </w:t>
      </w:r>
      <w:r w:rsidRPr="003256A8">
        <w:rPr>
          <w:b/>
          <w:bCs/>
        </w:rPr>
        <w:t>fair lending and algorithmic fairness in credit scoring</w:t>
      </w:r>
      <w:r w:rsidRPr="003256A8">
        <w:t>. This domain is important because credit models affect who gets approved for loans, mortgages, credit cards, and other financial products. They can also affect pricing, credit limits, and repayment terms.</w:t>
      </w:r>
    </w:p>
    <w:p w14:paraId="79F1DEFC" w14:textId="77777777" w:rsidR="003256A8" w:rsidRPr="003256A8" w:rsidRDefault="003256A8" w:rsidP="003256A8">
      <w:r w:rsidRPr="003256A8">
        <w:t xml:space="preserve">Both the US and UK prohibit discrimination in credit decisions, but they do not monitor and enforce fairness in the same way. This makes the domain suitable for a jurisdiction-aware </w:t>
      </w:r>
      <w:proofErr w:type="spellStart"/>
      <w:r w:rsidRPr="003256A8">
        <w:t>RegTech</w:t>
      </w:r>
      <w:proofErr w:type="spellEnd"/>
      <w:r w:rsidRPr="003256A8">
        <w:t xml:space="preserve"> tool.</w:t>
      </w:r>
    </w:p>
    <w:p w14:paraId="4F046853" w14:textId="6425411F" w:rsidR="003256A8" w:rsidRPr="003256A8" w:rsidRDefault="003256A8" w:rsidP="003256A8"/>
    <w:p w14:paraId="77231EE0" w14:textId="77777777" w:rsidR="003256A8" w:rsidRPr="003256A8" w:rsidRDefault="003256A8" w:rsidP="003256A8">
      <w:pPr>
        <w:rPr>
          <w:b/>
          <w:bCs/>
        </w:rPr>
      </w:pPr>
      <w:r w:rsidRPr="003256A8">
        <w:rPr>
          <w:b/>
          <w:bCs/>
        </w:rPr>
        <w:t>1.2.1 Where the Two Jurisdictions Diverge</w:t>
      </w:r>
    </w:p>
    <w:p w14:paraId="196478B4" w14:textId="77777777" w:rsidR="003256A8" w:rsidRPr="003256A8" w:rsidRDefault="003256A8" w:rsidP="003256A8">
      <w:pPr>
        <w:rPr>
          <w:b/>
          <w:bCs/>
        </w:rPr>
      </w:pPr>
      <w:r w:rsidRPr="003256A8">
        <w:rPr>
          <w:b/>
          <w:bCs/>
        </w:rPr>
        <w:t>1.2.1.1 The race data problem</w:t>
      </w:r>
    </w:p>
    <w:p w14:paraId="3E77587F" w14:textId="77777777" w:rsidR="003256A8" w:rsidRPr="003256A8" w:rsidRDefault="003256A8" w:rsidP="003256A8">
      <w:r w:rsidRPr="003256A8">
        <w:lastRenderedPageBreak/>
        <w:t>A key difference is how protected-characteristic data is handled.</w:t>
      </w:r>
    </w:p>
    <w:p w14:paraId="038AE871" w14:textId="77777777" w:rsidR="003256A8" w:rsidRPr="003256A8" w:rsidRDefault="003256A8" w:rsidP="003256A8">
      <w:r w:rsidRPr="003256A8">
        <w:t>In the US, race is generally not collected directly for many non-mortgage credit products. Mortgage lending is different because HMDA/Regulation C requires covered lenders to collect and report race, ethnicity, sex, income, geography, and loan outcome data. For non-mortgage fair-lending analysis, regulators and lenders often do not have direct race data.</w:t>
      </w:r>
    </w:p>
    <w:p w14:paraId="0303E489" w14:textId="77777777" w:rsidR="003256A8" w:rsidRPr="003256A8" w:rsidRDefault="003256A8" w:rsidP="003256A8">
      <w:r w:rsidRPr="003256A8">
        <w:t xml:space="preserve">This is why </w:t>
      </w:r>
      <w:r w:rsidRPr="003256A8">
        <w:rPr>
          <w:b/>
          <w:bCs/>
        </w:rPr>
        <w:t>BISG</w:t>
      </w:r>
      <w:r w:rsidRPr="003256A8">
        <w:t>, or Bayesian Improved Surname Geocoding, is used. BISG combines surname and geography to estimate the probability that an applicant belongs to a particular race or ethnicity group. The CFPB has used BISG in supervisory and enforcement fair-lending analysis for non-mortgage products.</w:t>
      </w:r>
    </w:p>
    <w:p w14:paraId="47631910" w14:textId="77777777" w:rsidR="003256A8" w:rsidRPr="003256A8" w:rsidRDefault="003256A8" w:rsidP="003256A8">
      <w:r w:rsidRPr="003256A8">
        <w:t xml:space="preserve">In the UK, protected-characteristic data such as race can be collected for equality monitoring if there is a lawful basis and proper data protection controls. However, the UK does not have a direct equivalent of the US HMDA public mortgage dataset. </w:t>
      </w:r>
      <w:proofErr w:type="gramStart"/>
      <w:r w:rsidRPr="003256A8">
        <w:t>So</w:t>
      </w:r>
      <w:proofErr w:type="gramEnd"/>
      <w:r w:rsidRPr="003256A8">
        <w:t xml:space="preserve"> the UK may allow direct equality monitoring data in some cases, but it has less public application-level data for detecting lending disparities.</w:t>
      </w:r>
    </w:p>
    <w:p w14:paraId="3FC5449F" w14:textId="77777777" w:rsidR="003256A8" w:rsidRPr="003256A8" w:rsidRDefault="003256A8" w:rsidP="003256A8">
      <w:r w:rsidRPr="003256A8">
        <w:t xml:space="preserve">This creates a design difference. In US mode, </w:t>
      </w:r>
      <w:proofErr w:type="spellStart"/>
      <w:r w:rsidRPr="003256A8">
        <w:t>FairScope</w:t>
      </w:r>
      <w:proofErr w:type="spellEnd"/>
      <w:r w:rsidRPr="003256A8">
        <w:t xml:space="preserve"> may need proxy-based testing such as BISG. In UK mode, it may need stronger data-governance controls for voluntary equality data.</w:t>
      </w:r>
    </w:p>
    <w:p w14:paraId="0DE64F06" w14:textId="04402AF1" w:rsidR="003256A8" w:rsidRPr="003256A8" w:rsidRDefault="003256A8" w:rsidP="003256A8"/>
    <w:p w14:paraId="577242B0" w14:textId="77777777" w:rsidR="003256A8" w:rsidRPr="003256A8" w:rsidRDefault="003256A8" w:rsidP="003256A8">
      <w:pPr>
        <w:rPr>
          <w:b/>
          <w:bCs/>
        </w:rPr>
      </w:pPr>
      <w:r w:rsidRPr="003256A8">
        <w:rPr>
          <w:b/>
          <w:bCs/>
        </w:rPr>
        <w:t>1.2.1.2 What counts as discrimination</w:t>
      </w:r>
    </w:p>
    <w:p w14:paraId="55754BE7" w14:textId="77777777" w:rsidR="003256A8" w:rsidRPr="003256A8" w:rsidRDefault="003256A8" w:rsidP="003256A8">
      <w:r w:rsidRPr="003256A8">
        <w:t xml:space="preserve">Historically, US fair-lending analysis included both </w:t>
      </w:r>
      <w:r w:rsidRPr="003256A8">
        <w:rPr>
          <w:b/>
          <w:bCs/>
        </w:rPr>
        <w:t>disparate treatment</w:t>
      </w:r>
      <w:r w:rsidRPr="003256A8">
        <w:t xml:space="preserve"> and </w:t>
      </w:r>
      <w:r w:rsidRPr="003256A8">
        <w:rPr>
          <w:b/>
          <w:bCs/>
        </w:rPr>
        <w:t>disparate impact</w:t>
      </w:r>
      <w:r w:rsidRPr="003256A8">
        <w:t>. Disparate treatment means intentional discrimination. Disparate impact means a neutral policy may still be unlawful if it creates unjustified adverse effects on a protected group.</w:t>
      </w:r>
    </w:p>
    <w:p w14:paraId="0FEDC153" w14:textId="77777777" w:rsidR="003256A8" w:rsidRPr="003256A8" w:rsidRDefault="003256A8" w:rsidP="003256A8">
      <w:r w:rsidRPr="003256A8">
        <w:t xml:space="preserve">In April 2025, the White House issued an executive order seeking to reduce the use of disparate-impact liability. In April 2026, the CFPB finalized amendments to </w:t>
      </w:r>
      <w:r w:rsidRPr="003256A8">
        <w:rPr>
          <w:b/>
          <w:bCs/>
        </w:rPr>
        <w:t>Regulation B</w:t>
      </w:r>
      <w:r w:rsidRPr="003256A8">
        <w:t xml:space="preserve">, stating that ECOA does not authorize disparate-impact liability, also called the “effects test.” This weakens the role of outcome-based statistical testing under ECOA/Regulation B, although other fair-lending risks may </w:t>
      </w:r>
      <w:proofErr w:type="gramStart"/>
      <w:r w:rsidRPr="003256A8">
        <w:t>still remain</w:t>
      </w:r>
      <w:proofErr w:type="gramEnd"/>
      <w:r w:rsidRPr="003256A8">
        <w:t>.</w:t>
      </w:r>
    </w:p>
    <w:p w14:paraId="2F1E4FEA" w14:textId="77777777" w:rsidR="003256A8" w:rsidRPr="003256A8" w:rsidRDefault="003256A8" w:rsidP="003256A8">
      <w:r w:rsidRPr="003256A8">
        <w:t xml:space="preserve">The UK uses a different structure under the </w:t>
      </w:r>
      <w:r w:rsidRPr="003256A8">
        <w:rPr>
          <w:b/>
          <w:bCs/>
        </w:rPr>
        <w:t>Equality Act 2010</w:t>
      </w:r>
      <w:r w:rsidRPr="003256A8">
        <w:t>. It distinguishes between direct discrimination and indirect discrimination. The UK does not use a fixed numerical threshold like the US four-fifths rule, which is often used as a screening heuristic rather than a complete legal test.</w:t>
      </w:r>
    </w:p>
    <w:p w14:paraId="38EC97C7" w14:textId="77777777" w:rsidR="003256A8" w:rsidRPr="003256A8" w:rsidRDefault="003256A8" w:rsidP="003256A8">
      <w:r w:rsidRPr="003256A8">
        <w:lastRenderedPageBreak/>
        <w:t xml:space="preserve">The FCA </w:t>
      </w:r>
      <w:r w:rsidRPr="003256A8">
        <w:rPr>
          <w:b/>
          <w:bCs/>
        </w:rPr>
        <w:t>Consumer Duty</w:t>
      </w:r>
      <w:r w:rsidRPr="003256A8">
        <w:t>, which came into force for open products and services on 31 July 2023, adds a broader obligation to monitor whether customers are receiving good outcomes. This makes the UK framework more outcome-focused, even though it has less public HMDA-style data infrastructure.</w:t>
      </w:r>
    </w:p>
    <w:p w14:paraId="678789FA" w14:textId="2CBC0983" w:rsidR="003256A8" w:rsidRPr="003256A8" w:rsidRDefault="003256A8" w:rsidP="003256A8"/>
    <w:p w14:paraId="55C5301C" w14:textId="77777777" w:rsidR="003256A8" w:rsidRPr="003256A8" w:rsidRDefault="003256A8" w:rsidP="003256A8">
      <w:pPr>
        <w:rPr>
          <w:b/>
          <w:bCs/>
        </w:rPr>
      </w:pPr>
      <w:r w:rsidRPr="003256A8">
        <w:rPr>
          <w:b/>
          <w:bCs/>
        </w:rPr>
        <w:t>1.2.1.3 How AI in credit scoring is governed</w:t>
      </w:r>
    </w:p>
    <w:p w14:paraId="08D3786B" w14:textId="77777777" w:rsidR="003256A8" w:rsidRPr="003256A8" w:rsidRDefault="003256A8" w:rsidP="003256A8">
      <w:r w:rsidRPr="003256A8">
        <w:t xml:space="preserve">In the US, model risk management is shaped by banking supervisory guidance. The OCC’s </w:t>
      </w:r>
      <w:r w:rsidRPr="003256A8">
        <w:rPr>
          <w:b/>
          <w:bCs/>
        </w:rPr>
        <w:t>Bulletin 2026-13</w:t>
      </w:r>
      <w:r w:rsidRPr="003256A8">
        <w:t xml:space="preserve">, issued in April 2026, introduced revised model risk management guidance. A notable feature is that </w:t>
      </w:r>
      <w:proofErr w:type="spellStart"/>
      <w:r w:rsidRPr="003256A8">
        <w:t>GenAI</w:t>
      </w:r>
      <w:proofErr w:type="spellEnd"/>
      <w:r w:rsidRPr="003256A8">
        <w:t xml:space="preserve"> and agentic AI are outside its scope. This creates uncertainty because advanced AI systems are becoming more relevant in financial services.</w:t>
      </w:r>
    </w:p>
    <w:p w14:paraId="33BF56F8" w14:textId="77777777" w:rsidR="003256A8" w:rsidRPr="003256A8" w:rsidRDefault="003256A8" w:rsidP="003256A8">
      <w:r w:rsidRPr="003256A8">
        <w:t xml:space="preserve">The EU has taken a more direct AI governance approach through the </w:t>
      </w:r>
      <w:r w:rsidRPr="003256A8">
        <w:rPr>
          <w:b/>
          <w:bCs/>
        </w:rPr>
        <w:t>EU AI Act</w:t>
      </w:r>
      <w:r w:rsidRPr="003256A8">
        <w:t>. Creditworthiness assessment and credit scoring are generally treated as high-risk AI uses. High-risk obligations include risk management, data governance, technical documentation, transparency, human oversight, accuracy, and robustness. Many of these obligations apply from August 2026.</w:t>
      </w:r>
    </w:p>
    <w:p w14:paraId="4E78477A" w14:textId="77777777" w:rsidR="003256A8" w:rsidRPr="003256A8" w:rsidRDefault="003256A8" w:rsidP="003256A8">
      <w:r w:rsidRPr="003256A8">
        <w:t>The UK has not adopted the EU AI Act after Brexit, but the FCA is moving in an outcome-focused direction through Consumer Duty, explainability, governance, and senior management accountability. For HSBC UK, this means AI-supported credit decisions must be fair, explainable, and supported by governance evidence.</w:t>
      </w:r>
    </w:p>
    <w:p w14:paraId="775AF5EC" w14:textId="44C5B5A4" w:rsidR="003256A8" w:rsidRPr="003256A8" w:rsidRDefault="003256A8" w:rsidP="003256A8"/>
    <w:p w14:paraId="7799606F" w14:textId="77777777" w:rsidR="003256A8" w:rsidRPr="003256A8" w:rsidRDefault="003256A8" w:rsidP="003256A8">
      <w:pPr>
        <w:rPr>
          <w:b/>
          <w:bCs/>
        </w:rPr>
      </w:pPr>
      <w:r w:rsidRPr="003256A8">
        <w:rPr>
          <w:b/>
          <w:bCs/>
        </w:rPr>
        <w:t>1.2.1.4 The enforcement gap</w:t>
      </w:r>
    </w:p>
    <w:p w14:paraId="52156C59" w14:textId="77777777" w:rsidR="003256A8" w:rsidRPr="003256A8" w:rsidRDefault="003256A8" w:rsidP="003256A8">
      <w:r w:rsidRPr="003256A8">
        <w:t xml:space="preserve">Between 2021 and 2024, US fair-lending enforcement was active. The DOJ’s </w:t>
      </w:r>
      <w:r w:rsidRPr="003256A8">
        <w:rPr>
          <w:b/>
          <w:bCs/>
        </w:rPr>
        <w:t>Combating Redlining Initiative</w:t>
      </w:r>
      <w:r w:rsidRPr="003256A8">
        <w:t xml:space="preserve"> secured over USD 107 million in relief by October 2023. However, after the 2025 executive order on disparate impact and the 2026 Regulation B changes, the US federal direction shifted away from disparate-impact enforcement under ECOA.</w:t>
      </w:r>
    </w:p>
    <w:p w14:paraId="1AEA6D13" w14:textId="77777777" w:rsidR="003256A8" w:rsidRPr="003256A8" w:rsidRDefault="003256A8" w:rsidP="003256A8">
      <w:r w:rsidRPr="003256A8">
        <w:t>There has also been uncertainty around the CFPB’s staffing and enforcement capacity, with reported attempts to sharply reduce the agency’s workforce. Because this area is politically and legally contested, I would avoid relying too heavily on exact staffing numbers.</w:t>
      </w:r>
    </w:p>
    <w:p w14:paraId="2E67241B" w14:textId="77777777" w:rsidR="003256A8" w:rsidRPr="003256A8" w:rsidRDefault="003256A8" w:rsidP="003256A8">
      <w:r w:rsidRPr="003256A8">
        <w:t>The UK direction appears more stable. The FCA Consumer Duty remains active, and SM&amp;CR creates senior-manager accountability. This does not mean UK enforcement is stronger in every respect, but it does place clearer ongoing responsibility on firms and senior management.</w:t>
      </w:r>
    </w:p>
    <w:p w14:paraId="45E0EE1C" w14:textId="6FD62041" w:rsidR="003256A8" w:rsidRPr="003256A8" w:rsidRDefault="003256A8" w:rsidP="003256A8"/>
    <w:p w14:paraId="611B7AE4" w14:textId="77777777" w:rsidR="003256A8" w:rsidRPr="003256A8" w:rsidRDefault="003256A8" w:rsidP="003256A8">
      <w:pPr>
        <w:rPr>
          <w:b/>
          <w:bCs/>
        </w:rPr>
      </w:pPr>
      <w:r w:rsidRPr="003256A8">
        <w:rPr>
          <w:b/>
          <w:bCs/>
        </w:rPr>
        <w:t>1.3 Summary of Divergence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88"/>
        <w:gridCol w:w="4355"/>
        <w:gridCol w:w="3401"/>
      </w:tblGrid>
      <w:tr w:rsidR="003256A8" w:rsidRPr="003256A8" w14:paraId="0D48BC19" w14:textId="77777777" w:rsidTr="003256A8">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66B0B" w14:textId="77777777" w:rsidR="003256A8" w:rsidRPr="003256A8" w:rsidRDefault="003256A8" w:rsidP="003256A8">
            <w:pPr>
              <w:rPr>
                <w:b/>
                <w:bCs/>
              </w:rPr>
            </w:pPr>
            <w:r w:rsidRPr="003256A8">
              <w:rPr>
                <w:b/>
                <w:bCs/>
              </w:rPr>
              <w:t>Dimension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58C9F" w14:textId="77777777" w:rsidR="003256A8" w:rsidRPr="003256A8" w:rsidRDefault="003256A8" w:rsidP="003256A8">
            <w:pPr>
              <w:rPr>
                <w:b/>
                <w:bCs/>
              </w:rPr>
            </w:pPr>
            <w:r w:rsidRPr="003256A8">
              <w:rPr>
                <w:b/>
                <w:bCs/>
              </w:rPr>
              <w: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05A65" w14:textId="77777777" w:rsidR="003256A8" w:rsidRPr="003256A8" w:rsidRDefault="003256A8" w:rsidP="003256A8">
            <w:pPr>
              <w:rPr>
                <w:b/>
                <w:bCs/>
              </w:rPr>
            </w:pPr>
            <w:r w:rsidRPr="003256A8">
              <w:rPr>
                <w:b/>
                <w:bCs/>
              </w:rPr>
              <w:t>UK</w:t>
            </w:r>
          </w:p>
        </w:tc>
      </w:tr>
      <w:tr w:rsidR="003256A8" w:rsidRPr="003256A8" w14:paraId="3B9BC985"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4B1AC" w14:textId="77777777" w:rsidR="003256A8" w:rsidRPr="003256A8" w:rsidRDefault="003256A8" w:rsidP="003256A8">
            <w:r w:rsidRPr="003256A8">
              <w:t>Race/protected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0DBDD" w14:textId="77777777" w:rsidR="003256A8" w:rsidRPr="003256A8" w:rsidRDefault="003256A8" w:rsidP="003256A8">
            <w:r w:rsidRPr="003256A8">
              <w:t>Often unavailable directly for non-mortgage credit; BISG may be used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F98F4" w14:textId="77777777" w:rsidR="003256A8" w:rsidRPr="003256A8" w:rsidRDefault="003256A8" w:rsidP="003256A8">
            <w:r w:rsidRPr="003256A8">
              <w:t>Can be collected for equality monitoring if legally justified</w:t>
            </w:r>
          </w:p>
        </w:tc>
      </w:tr>
      <w:tr w:rsidR="003256A8" w:rsidRPr="003256A8" w14:paraId="7AF9C15C"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8EB6FA" w14:textId="77777777" w:rsidR="003256A8" w:rsidRPr="003256A8" w:rsidRDefault="003256A8" w:rsidP="003256A8">
            <w:r w:rsidRPr="003256A8">
              <w:t>Mortgage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E6F7C" w14:textId="77777777" w:rsidR="003256A8" w:rsidRPr="003256A8" w:rsidRDefault="003256A8" w:rsidP="003256A8">
            <w:r w:rsidRPr="003256A8">
              <w:t>HMDA provides public application-level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D7B9A4" w14:textId="77777777" w:rsidR="003256A8" w:rsidRPr="003256A8" w:rsidRDefault="003256A8" w:rsidP="003256A8">
            <w:r w:rsidRPr="003256A8">
              <w:t>No direct HMDA equivalent</w:t>
            </w:r>
          </w:p>
        </w:tc>
      </w:tr>
      <w:tr w:rsidR="003256A8" w:rsidRPr="003256A8" w14:paraId="211CD257"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BDF21" w14:textId="77777777" w:rsidR="003256A8" w:rsidRPr="003256A8" w:rsidRDefault="003256A8" w:rsidP="003256A8">
            <w:r w:rsidRPr="003256A8">
              <w:t>Discrimination standard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BE6CE" w14:textId="77777777" w:rsidR="003256A8" w:rsidRPr="003256A8" w:rsidRDefault="003256A8" w:rsidP="003256A8">
            <w:r w:rsidRPr="003256A8">
              <w:t>Recent shift away from disparate impact under ECOA/Reg 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2434D" w14:textId="77777777" w:rsidR="003256A8" w:rsidRPr="003256A8" w:rsidRDefault="003256A8" w:rsidP="003256A8">
            <w:r w:rsidRPr="003256A8">
              <w:t>Direct and indirect discrimination under Equality Act</w:t>
            </w:r>
          </w:p>
        </w:tc>
      </w:tr>
      <w:tr w:rsidR="003256A8" w:rsidRPr="003256A8" w14:paraId="1E86FC95"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E26B3" w14:textId="77777777" w:rsidR="003256A8" w:rsidRPr="003256A8" w:rsidRDefault="003256A8" w:rsidP="003256A8">
            <w:r w:rsidRPr="003256A8">
              <w:t>Statistical threshold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F8BBA" w14:textId="77777777" w:rsidR="003256A8" w:rsidRPr="003256A8" w:rsidRDefault="003256A8" w:rsidP="003256A8">
            <w:r w:rsidRPr="003256A8">
              <w:t>Four-fifths rule used as a screening heuristic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02B39" w14:textId="77777777" w:rsidR="003256A8" w:rsidRPr="003256A8" w:rsidRDefault="003256A8" w:rsidP="003256A8">
            <w:r w:rsidRPr="003256A8">
              <w:t>No fixed equivalent threshold</w:t>
            </w:r>
          </w:p>
        </w:tc>
      </w:tr>
      <w:tr w:rsidR="003256A8" w:rsidRPr="003256A8" w14:paraId="4E0D4AAD"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48F8F" w14:textId="77777777" w:rsidR="003256A8" w:rsidRPr="003256A8" w:rsidRDefault="003256A8" w:rsidP="003256A8">
            <w:r w:rsidRPr="003256A8">
              <w:t>AI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439F7" w14:textId="77777777" w:rsidR="003256A8" w:rsidRPr="003256A8" w:rsidRDefault="003256A8" w:rsidP="003256A8">
            <w:r w:rsidRPr="003256A8">
              <w:t xml:space="preserve">OCC model risk </w:t>
            </w:r>
            <w:proofErr w:type="gramStart"/>
            <w:r w:rsidRPr="003256A8">
              <w:t>guidance;</w:t>
            </w:r>
            <w:proofErr w:type="gramEnd"/>
            <w:r w:rsidRPr="003256A8">
              <w:t xml:space="preserve"> </w:t>
            </w:r>
            <w:proofErr w:type="spellStart"/>
            <w:r w:rsidRPr="003256A8">
              <w:t>GenAI</w:t>
            </w:r>
            <w:proofErr w:type="spellEnd"/>
            <w:r w:rsidRPr="003256A8">
              <w:t>/agentic AI excluded from OCC 2026-13 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08A7A" w14:textId="77777777" w:rsidR="003256A8" w:rsidRPr="003256A8" w:rsidRDefault="003256A8" w:rsidP="003256A8">
            <w:r w:rsidRPr="003256A8">
              <w:t>Consumer Duty, SM&amp;CR, and outcome-focused governance</w:t>
            </w:r>
          </w:p>
        </w:tc>
      </w:tr>
      <w:tr w:rsidR="003256A8" w:rsidRPr="003256A8" w14:paraId="61DEA445" w14:textId="77777777" w:rsidTr="003256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6BF50" w14:textId="77777777" w:rsidR="003256A8" w:rsidRPr="003256A8" w:rsidRDefault="003256A8" w:rsidP="003256A8">
            <w:r w:rsidRPr="003256A8">
              <w:t>Enforcement direction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6528E" w14:textId="77777777" w:rsidR="003256A8" w:rsidRPr="003256A8" w:rsidRDefault="003256A8" w:rsidP="003256A8">
            <w:r w:rsidRPr="003256A8">
              <w:t>More politically volatile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9DA0A" w14:textId="77777777" w:rsidR="003256A8" w:rsidRPr="003256A8" w:rsidRDefault="003256A8" w:rsidP="003256A8">
            <w:r w:rsidRPr="003256A8">
              <w:t>More stable and outcome-focused</w:t>
            </w:r>
          </w:p>
        </w:tc>
      </w:tr>
    </w:tbl>
    <w:p w14:paraId="3550E7D3" w14:textId="04A048FD" w:rsidR="003256A8" w:rsidRPr="003256A8" w:rsidRDefault="003256A8" w:rsidP="003256A8"/>
    <w:p w14:paraId="7BDA4DAF" w14:textId="77777777" w:rsidR="003256A8" w:rsidRPr="003256A8" w:rsidRDefault="003256A8" w:rsidP="003256A8">
      <w:pPr>
        <w:rPr>
          <w:b/>
          <w:bCs/>
        </w:rPr>
      </w:pPr>
      <w:r w:rsidRPr="003256A8">
        <w:rPr>
          <w:b/>
          <w:bCs/>
        </w:rPr>
        <w:t xml:space="preserve">1.4 Why This Matters for </w:t>
      </w:r>
      <w:proofErr w:type="spellStart"/>
      <w:r w:rsidRPr="003256A8">
        <w:rPr>
          <w:b/>
          <w:bCs/>
        </w:rPr>
        <w:t>FairScope</w:t>
      </w:r>
      <w:proofErr w:type="spellEnd"/>
    </w:p>
    <w:p w14:paraId="00E33015" w14:textId="77777777" w:rsidR="003256A8" w:rsidRPr="003256A8" w:rsidRDefault="003256A8" w:rsidP="003256A8">
      <w:r w:rsidRPr="003256A8">
        <w:t>What makes HSBC and fair lending interesting is that the same credit model can create different compliance obligations depending on where it is used.</w:t>
      </w:r>
    </w:p>
    <w:p w14:paraId="26B852B3" w14:textId="77777777" w:rsidR="003256A8" w:rsidRPr="003256A8" w:rsidRDefault="003256A8" w:rsidP="003256A8">
      <w:r w:rsidRPr="003256A8">
        <w:t xml:space="preserve">In the US, </w:t>
      </w:r>
      <w:proofErr w:type="spellStart"/>
      <w:r w:rsidRPr="003256A8">
        <w:t>FairScope</w:t>
      </w:r>
      <w:proofErr w:type="spellEnd"/>
      <w:r w:rsidRPr="003256A8">
        <w:t xml:space="preserve"> may need to check adverse action reasons, BISG-based proxy testing for non-mortgage products, HMDA considerations for mortgages, and the impact of the 2026 Regulation B changes.</w:t>
      </w:r>
    </w:p>
    <w:p w14:paraId="084951EE" w14:textId="77777777" w:rsidR="003256A8" w:rsidRPr="003256A8" w:rsidRDefault="003256A8" w:rsidP="003256A8">
      <w:r w:rsidRPr="003256A8">
        <w:t xml:space="preserve">In the UK, </w:t>
      </w:r>
      <w:proofErr w:type="spellStart"/>
      <w:r w:rsidRPr="003256A8">
        <w:t>FairScope</w:t>
      </w:r>
      <w:proofErr w:type="spellEnd"/>
      <w:r w:rsidRPr="003256A8">
        <w:t xml:space="preserve"> may need to check Consumer Duty outcomes, equality data governance, customer vulnerability, explainability, and senior management reporting.</w:t>
      </w:r>
    </w:p>
    <w:p w14:paraId="7FD8DF93" w14:textId="77777777" w:rsidR="003256A8" w:rsidRDefault="003256A8" w:rsidP="003256A8">
      <w:r w:rsidRPr="003256A8">
        <w:lastRenderedPageBreak/>
        <w:t xml:space="preserve">A weak compliance tool would treat US and UK fair lending as the same problem with different thresholds. A stronger tool must treat them as genuinely different regulatory problems. That is the design challenge </w:t>
      </w:r>
      <w:proofErr w:type="spellStart"/>
      <w:r w:rsidRPr="003256A8">
        <w:t>FairScope</w:t>
      </w:r>
      <w:proofErr w:type="spellEnd"/>
      <w:r w:rsidRPr="003256A8">
        <w:t xml:space="preserve"> is built to address.</w:t>
      </w:r>
    </w:p>
    <w:p w14:paraId="4B0FDCCD" w14:textId="77777777" w:rsidR="00C80AAF" w:rsidRDefault="00C80AAF" w:rsidP="003256A8"/>
    <w:p w14:paraId="77CB1C7C" w14:textId="77777777" w:rsidR="00C80AAF" w:rsidRPr="00C80AAF" w:rsidRDefault="00C80AAF" w:rsidP="00C80AAF">
      <w:pPr>
        <w:rPr>
          <w:b/>
          <w:bCs/>
        </w:rPr>
      </w:pPr>
      <w:r w:rsidRPr="00C80AAF">
        <w:rPr>
          <w:b/>
          <w:bCs/>
        </w:rPr>
        <w:t>1.5 Synthetic Data set:</w:t>
      </w:r>
    </w:p>
    <w:p w14:paraId="7578DF23" w14:textId="796B7092" w:rsidR="00C80AAF" w:rsidRPr="00C80AAF" w:rsidRDefault="00C80AAF" w:rsidP="00C80AAF">
      <w:r w:rsidRPr="00C80AAF">
        <w:t>created two synthetic datasets: 500 US credit applications and 300 UK credit applications. The data was generated using Python. No real customer data was used.</w:t>
      </w:r>
    </w:p>
    <w:p w14:paraId="7EF08D27" w14:textId="0AF25016" w:rsidR="00C80AAF" w:rsidRPr="00C80AAF" w:rsidRDefault="00C80AAF" w:rsidP="00C80AAF">
      <w:r w:rsidRPr="00C80AAF">
        <w:t>The records are fictional, but the distributions were designed to look realistic using public sources such as the CFPB, US Census Bureau, ONS, FCA, Experian, and academic papers on BISG.</w:t>
      </w:r>
    </w:p>
    <w:p w14:paraId="6D640D66" w14:textId="77777777" w:rsidR="00C80AAF" w:rsidRDefault="00C80AAF" w:rsidP="00C80AAF">
      <w:r w:rsidRPr="00C80AAF">
        <w:t xml:space="preserve">The aim is not to recreate HSBC’s real portfolio. The aim is to test whether </w:t>
      </w:r>
      <w:proofErr w:type="spellStart"/>
      <w:r w:rsidRPr="00C80AAF">
        <w:t>FairScope</w:t>
      </w:r>
      <w:proofErr w:type="spellEnd"/>
      <w:r w:rsidRPr="00C80AAF">
        <w:t xml:space="preserve"> can demonstrate jurisdiction-specific fairness logic.</w:t>
      </w:r>
    </w:p>
    <w:p w14:paraId="10C4AB16" w14:textId="0047E9F8" w:rsidR="00C80AAF" w:rsidRDefault="00C80AAF" w:rsidP="00C80AAF">
      <w:r>
        <w:t>Table below illustrates the references used for building synthetic data: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5"/>
        <w:gridCol w:w="2827"/>
        <w:gridCol w:w="2503"/>
      </w:tblGrid>
      <w:tr w:rsidR="00C80AAF" w:rsidRPr="00C80AAF" w14:paraId="7B49C11D"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2FDFD" w14:textId="77777777" w:rsidR="00C80AAF" w:rsidRPr="00C80AAF" w:rsidRDefault="00C80AAF" w:rsidP="00C80AAF">
            <w:r w:rsidRPr="00C80AAF">
              <w:rPr>
                <w:b/>
                <w:bCs/>
              </w:rPr>
              <w:t>Data component</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6A0C3" w14:textId="77777777" w:rsidR="00C80AAF" w:rsidRPr="00C80AAF" w:rsidRDefault="00C80AAF" w:rsidP="00C80AAF">
            <w:r w:rsidRPr="00C80AAF">
              <w:rPr>
                <w:b/>
                <w:bCs/>
              </w:rPr>
              <w:t>Source</w:t>
            </w:r>
          </w:p>
        </w:tc>
        <w:tc>
          <w:tcPr>
            <w:tcW w:w="23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2281D" w14:textId="77777777" w:rsidR="00C80AAF" w:rsidRPr="00C80AAF" w:rsidRDefault="00C80AAF" w:rsidP="00C80AAF">
            <w:r w:rsidRPr="00C80AAF">
              <w:rPr>
                <w:b/>
                <w:bCs/>
              </w:rPr>
              <w:t>Treatment</w:t>
            </w:r>
          </w:p>
        </w:tc>
      </w:tr>
      <w:tr w:rsidR="00C80AAF" w:rsidRPr="00C80AAF" w14:paraId="33A08860"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27AFB" w14:textId="77777777" w:rsidR="00C80AAF" w:rsidRPr="00C80AAF" w:rsidRDefault="00C80AAF" w:rsidP="00C80AAF">
            <w:r w:rsidRPr="00C80AAF">
              <w:t>BISG formula</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4DC5B" w14:textId="77777777" w:rsidR="00C80AAF" w:rsidRPr="00C80AAF" w:rsidRDefault="00C80AAF" w:rsidP="00C80AAF">
            <w:r w:rsidRPr="00C80AAF">
              <w:t>Elliott et al.; CFPB 2014</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765B7D" w14:textId="77777777" w:rsidR="00C80AAF" w:rsidRPr="00C80AAF" w:rsidRDefault="00C80AAF" w:rsidP="00C80AAF">
            <w:r w:rsidRPr="00C80AAF">
              <w:t>Direct methodology</w:t>
            </w:r>
          </w:p>
        </w:tc>
      </w:tr>
      <w:tr w:rsidR="00C80AAF" w:rsidRPr="00C80AAF" w14:paraId="6ED731AE"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CAD08" w14:textId="77777777" w:rsidR="00C80AAF" w:rsidRPr="00C80AAF" w:rsidRDefault="00C80AAF" w:rsidP="00C80AAF">
            <w:r w:rsidRPr="00C80AAF">
              <w:t>Surname-race weights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A6E3CD" w14:textId="77777777" w:rsidR="00C80AAF" w:rsidRPr="00C80AAF" w:rsidRDefault="00C80AAF" w:rsidP="00C80AAF">
            <w:r w:rsidRPr="00C80AAF">
              <w:t>US Census surname data</w:t>
            </w:r>
          </w:p>
        </w:tc>
        <w:tc>
          <w:tcPr>
            <w:tcW w:w="23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DE56B" w14:textId="77777777" w:rsidR="00C80AAF" w:rsidRPr="00C80AAF" w:rsidRDefault="00C80AAF" w:rsidP="00C80AAF">
            <w:r w:rsidRPr="00C80AAF">
              <w:t>Approximated</w:t>
            </w:r>
          </w:p>
        </w:tc>
      </w:tr>
      <w:tr w:rsidR="00C80AAF" w:rsidRPr="00C80AAF" w14:paraId="557CDDF9" w14:textId="77777777" w:rsidTr="00C80AAF">
        <w:tc>
          <w:tcPr>
            <w:tcW w:w="23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9CB22" w14:textId="77777777" w:rsidR="00C80AAF" w:rsidRPr="00C80AAF" w:rsidRDefault="00C80AAF" w:rsidP="00C80AAF">
            <w:r w:rsidRPr="00C80AAF">
              <w:t>Zip code demographics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12B8FC" w14:textId="77777777" w:rsidR="00C80AAF" w:rsidRPr="00C80AAF" w:rsidRDefault="00C80AAF" w:rsidP="00C80AAF">
            <w:r w:rsidRPr="00C80AAF">
              <w:t>ACS 5-Year, Table B02001</w:t>
            </w:r>
          </w:p>
        </w:tc>
        <w:tc>
          <w:tcPr>
            <w:tcW w:w="2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4F6905" w14:textId="77777777" w:rsidR="00C80AAF" w:rsidRPr="00C80AAF" w:rsidRDefault="00C80AAF" w:rsidP="00C80AAF">
            <w:r w:rsidRPr="00C80AAF">
              <w:t>Approximated</w:t>
            </w:r>
          </w:p>
        </w:tc>
      </w:tr>
      <w:tr w:rsidR="00C80AAF" w:rsidRPr="00C80AAF" w14:paraId="57813618"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C8EA5" w14:textId="77777777" w:rsidR="00C80AAF" w:rsidRPr="00C80AAF" w:rsidRDefault="00C80AAF" w:rsidP="00C80AAF">
            <w:r w:rsidRPr="00C80AAF">
              <w:t>US income</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92D14" w14:textId="77777777" w:rsidR="00C80AAF" w:rsidRPr="00C80AAF" w:rsidRDefault="00C80AAF" w:rsidP="00C80AAF">
            <w:r w:rsidRPr="00C80AAF">
              <w:t>Census CPS ASEC; BLS</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329A3" w14:textId="77777777" w:rsidR="00C80AAF" w:rsidRPr="00C80AAF" w:rsidRDefault="00C80AAF" w:rsidP="00C80AAF">
            <w:r w:rsidRPr="00C80AAF">
              <w:t>Distributional assumption</w:t>
            </w:r>
          </w:p>
        </w:tc>
      </w:tr>
      <w:tr w:rsidR="00C80AAF" w:rsidRPr="00C80AAF" w14:paraId="5A73A392"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05156E" w14:textId="77777777" w:rsidR="00C80AAF" w:rsidRPr="00C80AAF" w:rsidRDefault="00C80AAF" w:rsidP="00C80AAF">
            <w:r w:rsidRPr="00C80AAF">
              <w:t>US FICO scores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3E737" w14:textId="77777777" w:rsidR="00C80AAF" w:rsidRPr="00C80AAF" w:rsidRDefault="00C80AAF" w:rsidP="00C80AAF">
            <w:r w:rsidRPr="00C80AAF">
              <w:t>CFPB credit reports</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A030C" w14:textId="77777777" w:rsidR="00C80AAF" w:rsidRPr="00C80AAF" w:rsidRDefault="00C80AAF" w:rsidP="00C80AAF">
            <w:r w:rsidRPr="00C80AAF">
              <w:t>Approximate distribution</w:t>
            </w:r>
          </w:p>
        </w:tc>
      </w:tr>
      <w:tr w:rsidR="00C80AAF" w:rsidRPr="00C80AAF" w14:paraId="36F19224"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70B6E" w14:textId="77777777" w:rsidR="00C80AAF" w:rsidRPr="00C80AAF" w:rsidRDefault="00C80AAF" w:rsidP="00C80AAF">
            <w:r w:rsidRPr="00C80AAF">
              <w:t>UK credit scores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E4A50" w14:textId="77777777" w:rsidR="00C80AAF" w:rsidRPr="00C80AAF" w:rsidRDefault="00C80AAF" w:rsidP="00C80AAF">
            <w:r w:rsidRPr="00C80AAF">
              <w:t>Experian UK</w:t>
            </w:r>
          </w:p>
        </w:tc>
        <w:tc>
          <w:tcPr>
            <w:tcW w:w="23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5A03F" w14:textId="77777777" w:rsidR="00C80AAF" w:rsidRPr="00C80AAF" w:rsidRDefault="00C80AAF" w:rsidP="00C80AAF">
            <w:r w:rsidRPr="00C80AAF">
              <w:t>Scale used</w:t>
            </w:r>
          </w:p>
        </w:tc>
      </w:tr>
      <w:tr w:rsidR="00C80AAF" w:rsidRPr="00C80AAF" w14:paraId="63641AD8"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802F4A" w14:textId="77777777" w:rsidR="00C80AAF" w:rsidRPr="00C80AAF" w:rsidRDefault="00C80AAF" w:rsidP="00C80AAF">
            <w:r w:rsidRPr="00C80AAF">
              <w:t>Four-fifths rule</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31D47" w14:textId="77777777" w:rsidR="00C80AAF" w:rsidRPr="00C80AAF" w:rsidRDefault="00C80AAF" w:rsidP="00C80AAF">
            <w:r w:rsidRPr="00C80AAF">
              <w:t>EEOC Uniform Guidelines</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A6D5C7" w14:textId="77777777" w:rsidR="00C80AAF" w:rsidRPr="00C80AAF" w:rsidRDefault="00C80AAF" w:rsidP="00C80AAF">
            <w:r w:rsidRPr="00C80AAF">
              <w:t>Screening heuristic</w:t>
            </w:r>
          </w:p>
        </w:tc>
      </w:tr>
      <w:tr w:rsidR="00C80AAF" w:rsidRPr="00C80AAF" w14:paraId="2885A9FC" w14:textId="77777777" w:rsidTr="00C80AAF">
        <w:tc>
          <w:tcPr>
            <w:tcW w:w="23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6AB5C" w14:textId="77777777" w:rsidR="00C80AAF" w:rsidRPr="00C80AAF" w:rsidRDefault="00C80AAF" w:rsidP="00C80AAF">
            <w:r w:rsidRPr="00C80AAF">
              <w:lastRenderedPageBreak/>
              <w:t>UK ethnicity categories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C8A890" w14:textId="77777777" w:rsidR="00C80AAF" w:rsidRPr="00C80AAF" w:rsidRDefault="00C80AAF" w:rsidP="00C80AAF">
            <w:r w:rsidRPr="00C80AAF">
              <w:t>ONS 2021 Census</w:t>
            </w:r>
          </w:p>
        </w:tc>
        <w:tc>
          <w:tcPr>
            <w:tcW w:w="2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7625F" w14:textId="77777777" w:rsidR="00C80AAF" w:rsidRPr="00C80AAF" w:rsidRDefault="00C80AAF" w:rsidP="00C80AAF">
            <w:r w:rsidRPr="00C80AAF">
              <w:t>Direct category structure</w:t>
            </w:r>
          </w:p>
        </w:tc>
      </w:tr>
      <w:tr w:rsidR="00C80AAF" w:rsidRPr="00C80AAF" w14:paraId="7445FBCF" w14:textId="77777777" w:rsidTr="00C80AAF">
        <w:tc>
          <w:tcPr>
            <w:tcW w:w="2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6E95D" w14:textId="77777777" w:rsidR="00C80AAF" w:rsidRPr="00C80AAF" w:rsidRDefault="00C80AAF" w:rsidP="00C80AAF">
            <w:r w:rsidRPr="00C80AAF">
              <w:t>UK non-response rate</w:t>
            </w:r>
          </w:p>
        </w:tc>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34CD6" w14:textId="77777777" w:rsidR="00C80AAF" w:rsidRPr="00C80AAF" w:rsidRDefault="00C80AAF" w:rsidP="00C80AAF">
            <w:r w:rsidRPr="00C80AAF">
              <w:t>FCA Consumer Duty context</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75C20" w14:textId="77777777" w:rsidR="00C80AAF" w:rsidRPr="00C80AAF" w:rsidRDefault="00C80AAF" w:rsidP="00C80AAF">
            <w:r w:rsidRPr="00C80AAF">
              <w:t>Prototype assumption</w:t>
            </w:r>
          </w:p>
        </w:tc>
      </w:tr>
    </w:tbl>
    <w:p w14:paraId="0A27059A" w14:textId="77777777" w:rsidR="00C80AAF" w:rsidRPr="00C80AAF" w:rsidRDefault="00C80AAF" w:rsidP="00C80AAF"/>
    <w:p w14:paraId="3892CA97" w14:textId="3262E20A" w:rsidR="00C80AAF" w:rsidRPr="003256A8" w:rsidRDefault="00C80AAF" w:rsidP="003256A8"/>
    <w:p w14:paraId="3E06173B" w14:textId="141CD0A1" w:rsidR="003256A8" w:rsidRPr="003256A8" w:rsidRDefault="003256A8" w:rsidP="003256A8"/>
    <w:p w14:paraId="0AB6083B" w14:textId="1A57868E" w:rsidR="003256A8" w:rsidRPr="003256A8" w:rsidRDefault="003256A8" w:rsidP="003256A8">
      <w:pPr>
        <w:rPr>
          <w:b/>
          <w:bCs/>
        </w:rPr>
      </w:pPr>
      <w:r w:rsidRPr="003256A8">
        <w:rPr>
          <w:b/>
          <w:bCs/>
        </w:rPr>
        <w:t>1.</w:t>
      </w:r>
      <w:r w:rsidR="00C80AAF">
        <w:rPr>
          <w:b/>
          <w:bCs/>
        </w:rPr>
        <w:t xml:space="preserve">6 </w:t>
      </w:r>
      <w:r w:rsidRPr="003256A8">
        <w:rPr>
          <w:b/>
          <w:bCs/>
        </w:rPr>
        <w:t>References</w:t>
      </w:r>
    </w:p>
    <w:p w14:paraId="04667217" w14:textId="77777777" w:rsidR="003256A8" w:rsidRPr="003256A8" w:rsidRDefault="003256A8" w:rsidP="003256A8">
      <w:pPr>
        <w:numPr>
          <w:ilvl w:val="0"/>
          <w:numId w:val="1"/>
        </w:numPr>
      </w:pPr>
      <w:r w:rsidRPr="003256A8">
        <w:t>HSBC Annual Report 2024: https://www.hsbc.com/investors/results-and-announcements/annual-report</w:t>
      </w:r>
    </w:p>
    <w:p w14:paraId="693387BD" w14:textId="77777777" w:rsidR="003256A8" w:rsidRPr="003256A8" w:rsidRDefault="003256A8" w:rsidP="003256A8">
      <w:pPr>
        <w:numPr>
          <w:ilvl w:val="0"/>
          <w:numId w:val="1"/>
        </w:numPr>
      </w:pPr>
      <w:r w:rsidRPr="003256A8">
        <w:t>HSBC UK FCA Register: https://register.fca.org.uk</w:t>
      </w:r>
    </w:p>
    <w:p w14:paraId="78EB3E04" w14:textId="77777777" w:rsidR="003256A8" w:rsidRPr="003256A8" w:rsidRDefault="003256A8" w:rsidP="003256A8">
      <w:pPr>
        <w:numPr>
          <w:ilvl w:val="0"/>
          <w:numId w:val="1"/>
        </w:numPr>
      </w:pPr>
      <w:r w:rsidRPr="003256A8">
        <w:t>DOJ HSBC AML settlement: https://www.justice.gov</w:t>
      </w:r>
    </w:p>
    <w:p w14:paraId="73B70FEB" w14:textId="77777777" w:rsidR="003256A8" w:rsidRPr="003256A8" w:rsidRDefault="003256A8" w:rsidP="003256A8">
      <w:pPr>
        <w:numPr>
          <w:ilvl w:val="0"/>
          <w:numId w:val="1"/>
        </w:numPr>
      </w:pPr>
      <w:r w:rsidRPr="003256A8">
        <w:t>PRA HSBC depositor protection fine: https://www.bankofengland.co.uk</w:t>
      </w:r>
    </w:p>
    <w:p w14:paraId="50EA9CF0" w14:textId="77777777" w:rsidR="003256A8" w:rsidRPr="003256A8" w:rsidRDefault="003256A8" w:rsidP="003256A8">
      <w:pPr>
        <w:numPr>
          <w:ilvl w:val="0"/>
          <w:numId w:val="1"/>
        </w:numPr>
      </w:pPr>
      <w:r w:rsidRPr="003256A8">
        <w:t>CFPB BISG Proxy Methodology: https://files.consumerfinance.gov/f/201409_cfpb_report_proxy-methodology.pdf</w:t>
      </w:r>
    </w:p>
    <w:p w14:paraId="539372B0" w14:textId="77777777" w:rsidR="003256A8" w:rsidRPr="003256A8" w:rsidRDefault="003256A8" w:rsidP="003256A8">
      <w:pPr>
        <w:numPr>
          <w:ilvl w:val="0"/>
          <w:numId w:val="1"/>
        </w:numPr>
      </w:pPr>
      <w:r w:rsidRPr="003256A8">
        <w:t>CFPB HMDA race and ethnicity guidance: https://www.consumerfinance.gov</w:t>
      </w:r>
    </w:p>
    <w:p w14:paraId="5AA3990F" w14:textId="77777777" w:rsidR="003256A8" w:rsidRPr="003256A8" w:rsidRDefault="003256A8" w:rsidP="003256A8">
      <w:pPr>
        <w:numPr>
          <w:ilvl w:val="0"/>
          <w:numId w:val="1"/>
        </w:numPr>
      </w:pPr>
      <w:r w:rsidRPr="003256A8">
        <w:t>White House Executive Order on disparate impact: https://www.whitehouse.gov</w:t>
      </w:r>
    </w:p>
    <w:p w14:paraId="5133CD75" w14:textId="77777777" w:rsidR="003256A8" w:rsidRPr="003256A8" w:rsidRDefault="003256A8" w:rsidP="003256A8">
      <w:pPr>
        <w:numPr>
          <w:ilvl w:val="0"/>
          <w:numId w:val="1"/>
        </w:numPr>
      </w:pPr>
      <w:r w:rsidRPr="003256A8">
        <w:t>CFPB Regulation B final rule, April 2026: https://www.federalregister.gov</w:t>
      </w:r>
    </w:p>
    <w:p w14:paraId="4B5DE8C1" w14:textId="77777777" w:rsidR="003256A8" w:rsidRPr="003256A8" w:rsidRDefault="003256A8" w:rsidP="003256A8">
      <w:pPr>
        <w:numPr>
          <w:ilvl w:val="0"/>
          <w:numId w:val="1"/>
        </w:numPr>
      </w:pPr>
      <w:r w:rsidRPr="003256A8">
        <w:t>FCA Consumer Duty board reports: https://www.fca.org.uk</w:t>
      </w:r>
    </w:p>
    <w:p w14:paraId="6CB7197D" w14:textId="77777777" w:rsidR="003256A8" w:rsidRPr="003256A8" w:rsidRDefault="003256A8" w:rsidP="003256A8">
      <w:pPr>
        <w:numPr>
          <w:ilvl w:val="0"/>
          <w:numId w:val="1"/>
        </w:numPr>
      </w:pPr>
      <w:r w:rsidRPr="003256A8">
        <w:t>EU AI Act official information: https://digital-strategy.ec.europa.eu</w:t>
      </w:r>
    </w:p>
    <w:p w14:paraId="4759C765" w14:textId="77777777" w:rsidR="003256A8" w:rsidRPr="003256A8" w:rsidRDefault="003256A8" w:rsidP="003256A8">
      <w:pPr>
        <w:numPr>
          <w:ilvl w:val="0"/>
          <w:numId w:val="1"/>
        </w:numPr>
      </w:pPr>
      <w:r w:rsidRPr="003256A8">
        <w:t>UK Equality Act 2010: https://www.legislation.gov.uk</w:t>
      </w:r>
    </w:p>
    <w:p w14:paraId="5A43589D" w14:textId="56412166" w:rsidR="003256A8" w:rsidRDefault="003256A8" w:rsidP="003256A8">
      <w:pPr>
        <w:numPr>
          <w:ilvl w:val="0"/>
          <w:numId w:val="1"/>
        </w:numPr>
      </w:pPr>
      <w:r w:rsidRPr="003256A8">
        <w:t xml:space="preserve">FCA SM&amp;CR: </w:t>
      </w:r>
      <w:hyperlink r:id="rId7" w:history="1">
        <w:r w:rsidR="00C80AAF" w:rsidRPr="00AC1331">
          <w:rPr>
            <w:rStyle w:val="Hyperlink"/>
          </w:rPr>
          <w:t>https://www.fca.org.uk</w:t>
        </w:r>
      </w:hyperlink>
    </w:p>
    <w:p w14:paraId="5D20E7A2" w14:textId="707182B3" w:rsidR="00C80AAF" w:rsidRPr="00C80AAF" w:rsidRDefault="00C80AAF" w:rsidP="00C80AAF">
      <w:pPr>
        <w:ind w:left="720"/>
        <w:rPr>
          <w:b/>
          <w:bCs/>
        </w:rPr>
      </w:pPr>
      <w:r w:rsidRPr="00C80AAF">
        <w:rPr>
          <w:b/>
          <w:bCs/>
        </w:rPr>
        <w:t xml:space="preserve">For Synthetic Data: </w:t>
      </w:r>
    </w:p>
    <w:p w14:paraId="309E6868"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CFPB BISG Methodology: </w:t>
      </w:r>
      <w:hyperlink r:id="rId8" w:history="1">
        <w:r>
          <w:rPr>
            <w:rStyle w:val="Hyperlink"/>
            <w:rFonts w:ascii="Calibri" w:hAnsi="Calibri" w:cs="Calibri"/>
            <w:sz w:val="22"/>
            <w:szCs w:val="22"/>
          </w:rPr>
          <w:t>https://www.consumerfinance.gov/data-research/research-reports/using-publicly-available-information-to-proxy-for-unidentified-race-and-ethnicity/</w:t>
        </w:r>
      </w:hyperlink>
    </w:p>
    <w:p w14:paraId="48181E5F"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US Census Surname Data: </w:t>
      </w:r>
      <w:hyperlink r:id="rId9" w:history="1">
        <w:r>
          <w:rPr>
            <w:rStyle w:val="Hyperlink"/>
            <w:rFonts w:ascii="Calibri" w:hAnsi="Calibri" w:cs="Calibri"/>
            <w:sz w:val="22"/>
            <w:szCs w:val="22"/>
          </w:rPr>
          <w:t>https://www.census.gov/topics/population/genealogy/data/2010_surnames.html</w:t>
        </w:r>
      </w:hyperlink>
    </w:p>
    <w:p w14:paraId="6051EC04"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ACS 5-Year Estimates: </w:t>
      </w:r>
      <w:hyperlink r:id="rId10" w:history="1">
        <w:r>
          <w:rPr>
            <w:rStyle w:val="Hyperlink"/>
            <w:rFonts w:ascii="Calibri" w:hAnsi="Calibri" w:cs="Calibri"/>
            <w:sz w:val="22"/>
            <w:szCs w:val="22"/>
          </w:rPr>
          <w:t>https://data.census.gov</w:t>
        </w:r>
      </w:hyperlink>
    </w:p>
    <w:p w14:paraId="41D8368F"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lastRenderedPageBreak/>
        <w:t xml:space="preserve">US Income Data: </w:t>
      </w:r>
      <w:hyperlink r:id="rId11" w:history="1">
        <w:r>
          <w:rPr>
            <w:rStyle w:val="Hyperlink"/>
            <w:rFonts w:ascii="Calibri" w:hAnsi="Calibri" w:cs="Calibri"/>
            <w:sz w:val="22"/>
            <w:szCs w:val="22"/>
          </w:rPr>
          <w:t>https://www.census.gov/data/tables/time-series/demo/income-poverty/historical-income-households.html</w:t>
        </w:r>
      </w:hyperlink>
    </w:p>
    <w:p w14:paraId="1EB1F560"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Experian UK Credit Score: </w:t>
      </w:r>
      <w:hyperlink r:id="rId12" w:history="1">
        <w:r>
          <w:rPr>
            <w:rStyle w:val="Hyperlink"/>
            <w:rFonts w:ascii="Calibri" w:hAnsi="Calibri" w:cs="Calibri"/>
            <w:sz w:val="22"/>
            <w:szCs w:val="22"/>
          </w:rPr>
          <w:t>https://www.experian.co.uk/consumer/credit-score.html</w:t>
        </w:r>
      </w:hyperlink>
    </w:p>
    <w:p w14:paraId="2C1F2D28"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EEOC Four-Fifths Rule: </w:t>
      </w:r>
      <w:hyperlink r:id="rId13" w:history="1">
        <w:r>
          <w:rPr>
            <w:rStyle w:val="Hyperlink"/>
            <w:rFonts w:ascii="Calibri" w:hAnsi="Calibri" w:cs="Calibri"/>
            <w:sz w:val="22"/>
            <w:szCs w:val="22"/>
          </w:rPr>
          <w:t>https://www.ecfr.gov/current/title-29/subtitle-B/chapter-XIV/part-1607</w:t>
        </w:r>
      </w:hyperlink>
    </w:p>
    <w:p w14:paraId="431423BC"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ONS Ethnicity Categories: </w:t>
      </w:r>
      <w:hyperlink r:id="rId14" w:history="1">
        <w:r>
          <w:rPr>
            <w:rStyle w:val="Hyperlink"/>
            <w:rFonts w:ascii="Calibri" w:hAnsi="Calibri" w:cs="Calibri"/>
            <w:sz w:val="22"/>
            <w:szCs w:val="22"/>
          </w:rPr>
          <w:t>https://www.ons.gov.uk/peoplepopulationandcommunity/culturalidentity/ethnicity</w:t>
        </w:r>
      </w:hyperlink>
    </w:p>
    <w:p w14:paraId="76ABB2B8" w14:textId="77777777" w:rsidR="00C80AAF" w:rsidRDefault="00C80AAF" w:rsidP="00C80AAF">
      <w:pPr>
        <w:numPr>
          <w:ilvl w:val="0"/>
          <w:numId w:val="1"/>
        </w:numPr>
        <w:spacing w:after="0" w:line="240" w:lineRule="auto"/>
        <w:textAlignment w:val="center"/>
        <w:rPr>
          <w:rFonts w:ascii="Calibri" w:hAnsi="Calibri" w:cs="Calibri"/>
          <w:sz w:val="22"/>
          <w:szCs w:val="22"/>
        </w:rPr>
      </w:pPr>
      <w:r>
        <w:rPr>
          <w:rFonts w:ascii="Calibri" w:hAnsi="Calibri" w:cs="Calibri"/>
          <w:sz w:val="22"/>
          <w:szCs w:val="22"/>
        </w:rPr>
        <w:t xml:space="preserve">FCA Consumer Duty: </w:t>
      </w:r>
      <w:hyperlink r:id="rId15" w:history="1">
        <w:r>
          <w:rPr>
            <w:rStyle w:val="Hyperlink"/>
            <w:rFonts w:ascii="Calibri" w:hAnsi="Calibri" w:cs="Calibri"/>
            <w:sz w:val="22"/>
            <w:szCs w:val="22"/>
          </w:rPr>
          <w:t>https://www.fca.org.uk/news/blogs/year-2-consumer-duty-board-reports-progress-and-what-comes-next</w:t>
        </w:r>
      </w:hyperlink>
    </w:p>
    <w:p w14:paraId="7520CBCD" w14:textId="77777777" w:rsidR="00C80AAF" w:rsidRPr="003256A8" w:rsidRDefault="00C80AAF" w:rsidP="00C80AAF">
      <w:pPr>
        <w:ind w:left="360"/>
      </w:pPr>
    </w:p>
    <w:p w14:paraId="67914A4D" w14:textId="457110E7" w:rsidR="00826EF4" w:rsidRDefault="00826EF4"/>
    <w:sectPr w:rsidR="00826EF4">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7EFF4" w14:textId="77777777" w:rsidR="00077F6B" w:rsidRDefault="00077F6B" w:rsidP="008E29C6">
      <w:pPr>
        <w:spacing w:after="0" w:line="240" w:lineRule="auto"/>
      </w:pPr>
      <w:r>
        <w:separator/>
      </w:r>
    </w:p>
  </w:endnote>
  <w:endnote w:type="continuationSeparator" w:id="0">
    <w:p w14:paraId="053077E6" w14:textId="77777777" w:rsidR="00077F6B" w:rsidRDefault="00077F6B" w:rsidP="008E2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E604E" w14:textId="77777777" w:rsidR="00077F6B" w:rsidRDefault="00077F6B" w:rsidP="008E29C6">
      <w:pPr>
        <w:spacing w:after="0" w:line="240" w:lineRule="auto"/>
      </w:pPr>
      <w:r>
        <w:separator/>
      </w:r>
    </w:p>
  </w:footnote>
  <w:footnote w:type="continuationSeparator" w:id="0">
    <w:p w14:paraId="73749375" w14:textId="77777777" w:rsidR="00077F6B" w:rsidRDefault="00077F6B" w:rsidP="008E2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5F6AC" w14:textId="2D85B39B" w:rsidR="00C33CCE" w:rsidRDefault="008E29C6" w:rsidP="008E29C6">
    <w:pPr>
      <w:pStyle w:val="Header"/>
    </w:pPr>
    <w:r>
      <w:t xml:space="preserve">Assignment 1   </w:t>
    </w:r>
    <w:r w:rsidR="00C33CCE">
      <w:t>- Task 1</w:t>
    </w:r>
    <w:r>
      <w:t xml:space="preserve">                 </w:t>
    </w:r>
    <w:r w:rsidR="00C33CCE">
      <w:tab/>
      <w:t xml:space="preserve">                    </w:t>
    </w:r>
    <w:r>
      <w:t xml:space="preserve">Presented by: </w:t>
    </w:r>
    <w:proofErr w:type="spellStart"/>
    <w:r>
      <w:t>Anandan</w:t>
    </w:r>
    <w:proofErr w:type="spellEnd"/>
    <w:r>
      <w:t xml:space="preserve"> Eruchamma Bhuvaneswari</w:t>
    </w:r>
    <w:r w:rsidR="00C33CCE">
      <w:t xml:space="preserve"> </w:t>
    </w:r>
  </w:p>
  <w:p w14:paraId="4D106246" w14:textId="564FB740" w:rsidR="008E29C6" w:rsidRDefault="00C33CCE" w:rsidP="008E29C6">
    <w:pPr>
      <w:pStyle w:val="Header"/>
    </w:pPr>
    <w:r>
      <w:t xml:space="preserve">                    </w:t>
    </w:r>
    <w:r>
      <w:tab/>
    </w:r>
    <w:r>
      <w:tab/>
    </w:r>
    <w:r w:rsidR="008E29C6">
      <w:t xml:space="preserve"> </w:t>
    </w:r>
    <w:proofErr w:type="gramStart"/>
    <w:r w:rsidR="008E29C6">
      <w:t>( G</w:t>
    </w:r>
    <w:proofErr w:type="gramEnd"/>
    <w:r w:rsidR="008E29C6">
      <w:t>2506438A)</w:t>
    </w:r>
  </w:p>
  <w:p w14:paraId="265E14DB" w14:textId="77777777" w:rsidR="008E29C6" w:rsidRDefault="008E2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55DAD"/>
    <w:multiLevelType w:val="multilevel"/>
    <w:tmpl w:val="048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34BD2"/>
    <w:multiLevelType w:val="multilevel"/>
    <w:tmpl w:val="19E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8005422">
    <w:abstractNumId w:val="0"/>
  </w:num>
  <w:num w:numId="2" w16cid:durableId="202270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6A8"/>
    <w:rsid w:val="00077985"/>
    <w:rsid w:val="00077F6B"/>
    <w:rsid w:val="003256A8"/>
    <w:rsid w:val="00826EF4"/>
    <w:rsid w:val="0088644A"/>
    <w:rsid w:val="008E29C6"/>
    <w:rsid w:val="0094725F"/>
    <w:rsid w:val="00BD2E4C"/>
    <w:rsid w:val="00C33CCE"/>
    <w:rsid w:val="00C8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F2FC"/>
  <w15:chartTrackingRefBased/>
  <w15:docId w15:val="{C18137FC-0369-804E-BD16-E2F95FA8B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6A8"/>
    <w:rPr>
      <w:rFonts w:eastAsiaTheme="majorEastAsia" w:cstheme="majorBidi"/>
      <w:color w:val="272727" w:themeColor="text1" w:themeTint="D8"/>
    </w:rPr>
  </w:style>
  <w:style w:type="paragraph" w:styleId="Title">
    <w:name w:val="Title"/>
    <w:basedOn w:val="Normal"/>
    <w:next w:val="Normal"/>
    <w:link w:val="TitleChar"/>
    <w:uiPriority w:val="10"/>
    <w:qFormat/>
    <w:rsid w:val="00325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6A8"/>
    <w:pPr>
      <w:spacing w:before="160"/>
      <w:jc w:val="center"/>
    </w:pPr>
    <w:rPr>
      <w:i/>
      <w:iCs/>
      <w:color w:val="404040" w:themeColor="text1" w:themeTint="BF"/>
    </w:rPr>
  </w:style>
  <w:style w:type="character" w:customStyle="1" w:styleId="QuoteChar">
    <w:name w:val="Quote Char"/>
    <w:basedOn w:val="DefaultParagraphFont"/>
    <w:link w:val="Quote"/>
    <w:uiPriority w:val="29"/>
    <w:rsid w:val="003256A8"/>
    <w:rPr>
      <w:i/>
      <w:iCs/>
      <w:color w:val="404040" w:themeColor="text1" w:themeTint="BF"/>
    </w:rPr>
  </w:style>
  <w:style w:type="paragraph" w:styleId="ListParagraph">
    <w:name w:val="List Paragraph"/>
    <w:basedOn w:val="Normal"/>
    <w:uiPriority w:val="34"/>
    <w:qFormat/>
    <w:rsid w:val="003256A8"/>
    <w:pPr>
      <w:ind w:left="720"/>
      <w:contextualSpacing/>
    </w:pPr>
  </w:style>
  <w:style w:type="character" w:styleId="IntenseEmphasis">
    <w:name w:val="Intense Emphasis"/>
    <w:basedOn w:val="DefaultParagraphFont"/>
    <w:uiPriority w:val="21"/>
    <w:qFormat/>
    <w:rsid w:val="003256A8"/>
    <w:rPr>
      <w:i/>
      <w:iCs/>
      <w:color w:val="0F4761" w:themeColor="accent1" w:themeShade="BF"/>
    </w:rPr>
  </w:style>
  <w:style w:type="paragraph" w:styleId="IntenseQuote">
    <w:name w:val="Intense Quote"/>
    <w:basedOn w:val="Normal"/>
    <w:next w:val="Normal"/>
    <w:link w:val="IntenseQuoteChar"/>
    <w:uiPriority w:val="30"/>
    <w:qFormat/>
    <w:rsid w:val="00325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6A8"/>
    <w:rPr>
      <w:i/>
      <w:iCs/>
      <w:color w:val="0F4761" w:themeColor="accent1" w:themeShade="BF"/>
    </w:rPr>
  </w:style>
  <w:style w:type="character" w:styleId="IntenseReference">
    <w:name w:val="Intense Reference"/>
    <w:basedOn w:val="DefaultParagraphFont"/>
    <w:uiPriority w:val="32"/>
    <w:qFormat/>
    <w:rsid w:val="003256A8"/>
    <w:rPr>
      <w:b/>
      <w:bCs/>
      <w:smallCaps/>
      <w:color w:val="0F4761" w:themeColor="accent1" w:themeShade="BF"/>
      <w:spacing w:val="5"/>
    </w:rPr>
  </w:style>
  <w:style w:type="paragraph" w:styleId="Header">
    <w:name w:val="header"/>
    <w:basedOn w:val="Normal"/>
    <w:link w:val="HeaderChar"/>
    <w:uiPriority w:val="99"/>
    <w:unhideWhenUsed/>
    <w:rsid w:val="008E2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9C6"/>
  </w:style>
  <w:style w:type="paragraph" w:styleId="Footer">
    <w:name w:val="footer"/>
    <w:basedOn w:val="Normal"/>
    <w:link w:val="FooterChar"/>
    <w:uiPriority w:val="99"/>
    <w:unhideWhenUsed/>
    <w:rsid w:val="008E2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9C6"/>
  </w:style>
  <w:style w:type="character" w:styleId="Hyperlink">
    <w:name w:val="Hyperlink"/>
    <w:basedOn w:val="DefaultParagraphFont"/>
    <w:uiPriority w:val="99"/>
    <w:unhideWhenUsed/>
    <w:rsid w:val="00C80AAF"/>
    <w:rPr>
      <w:color w:val="467886" w:themeColor="hyperlink"/>
      <w:u w:val="single"/>
    </w:rPr>
  </w:style>
  <w:style w:type="character" w:styleId="UnresolvedMention">
    <w:name w:val="Unresolved Mention"/>
    <w:basedOn w:val="DefaultParagraphFont"/>
    <w:uiPriority w:val="99"/>
    <w:semiHidden/>
    <w:unhideWhenUsed/>
    <w:rsid w:val="00C80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84539">
      <w:bodyDiv w:val="1"/>
      <w:marLeft w:val="0"/>
      <w:marRight w:val="0"/>
      <w:marTop w:val="0"/>
      <w:marBottom w:val="0"/>
      <w:divBdr>
        <w:top w:val="none" w:sz="0" w:space="0" w:color="auto"/>
        <w:left w:val="none" w:sz="0" w:space="0" w:color="auto"/>
        <w:bottom w:val="none" w:sz="0" w:space="0" w:color="auto"/>
        <w:right w:val="none" w:sz="0" w:space="0" w:color="auto"/>
      </w:divBdr>
    </w:div>
    <w:div w:id="252518077">
      <w:bodyDiv w:val="1"/>
      <w:marLeft w:val="0"/>
      <w:marRight w:val="0"/>
      <w:marTop w:val="0"/>
      <w:marBottom w:val="0"/>
      <w:divBdr>
        <w:top w:val="none" w:sz="0" w:space="0" w:color="auto"/>
        <w:left w:val="none" w:sz="0" w:space="0" w:color="auto"/>
        <w:bottom w:val="none" w:sz="0" w:space="0" w:color="auto"/>
        <w:right w:val="none" w:sz="0" w:space="0" w:color="auto"/>
      </w:divBdr>
    </w:div>
    <w:div w:id="1094476334">
      <w:bodyDiv w:val="1"/>
      <w:marLeft w:val="0"/>
      <w:marRight w:val="0"/>
      <w:marTop w:val="0"/>
      <w:marBottom w:val="0"/>
      <w:divBdr>
        <w:top w:val="none" w:sz="0" w:space="0" w:color="auto"/>
        <w:left w:val="none" w:sz="0" w:space="0" w:color="auto"/>
        <w:bottom w:val="none" w:sz="0" w:space="0" w:color="auto"/>
        <w:right w:val="none" w:sz="0" w:space="0" w:color="auto"/>
      </w:divBdr>
      <w:divsChild>
        <w:div w:id="1025254004">
          <w:marLeft w:val="0"/>
          <w:marRight w:val="0"/>
          <w:marTop w:val="0"/>
          <w:marBottom w:val="0"/>
          <w:divBdr>
            <w:top w:val="none" w:sz="0" w:space="0" w:color="auto"/>
            <w:left w:val="none" w:sz="0" w:space="0" w:color="auto"/>
            <w:bottom w:val="none" w:sz="0" w:space="0" w:color="auto"/>
            <w:right w:val="none" w:sz="0" w:space="0" w:color="auto"/>
          </w:divBdr>
        </w:div>
      </w:divsChild>
    </w:div>
    <w:div w:id="1281566876">
      <w:bodyDiv w:val="1"/>
      <w:marLeft w:val="0"/>
      <w:marRight w:val="0"/>
      <w:marTop w:val="0"/>
      <w:marBottom w:val="0"/>
      <w:divBdr>
        <w:top w:val="none" w:sz="0" w:space="0" w:color="auto"/>
        <w:left w:val="none" w:sz="0" w:space="0" w:color="auto"/>
        <w:bottom w:val="none" w:sz="0" w:space="0" w:color="auto"/>
        <w:right w:val="none" w:sz="0" w:space="0" w:color="auto"/>
      </w:divBdr>
    </w:div>
    <w:div w:id="1340499383">
      <w:bodyDiv w:val="1"/>
      <w:marLeft w:val="0"/>
      <w:marRight w:val="0"/>
      <w:marTop w:val="0"/>
      <w:marBottom w:val="0"/>
      <w:divBdr>
        <w:top w:val="none" w:sz="0" w:space="0" w:color="auto"/>
        <w:left w:val="none" w:sz="0" w:space="0" w:color="auto"/>
        <w:bottom w:val="none" w:sz="0" w:space="0" w:color="auto"/>
        <w:right w:val="none" w:sz="0" w:space="0" w:color="auto"/>
      </w:divBdr>
    </w:div>
    <w:div w:id="1536114365">
      <w:bodyDiv w:val="1"/>
      <w:marLeft w:val="0"/>
      <w:marRight w:val="0"/>
      <w:marTop w:val="0"/>
      <w:marBottom w:val="0"/>
      <w:divBdr>
        <w:top w:val="none" w:sz="0" w:space="0" w:color="auto"/>
        <w:left w:val="none" w:sz="0" w:space="0" w:color="auto"/>
        <w:bottom w:val="none" w:sz="0" w:space="0" w:color="auto"/>
        <w:right w:val="none" w:sz="0" w:space="0" w:color="auto"/>
      </w:divBdr>
    </w:div>
    <w:div w:id="1650674228">
      <w:bodyDiv w:val="1"/>
      <w:marLeft w:val="0"/>
      <w:marRight w:val="0"/>
      <w:marTop w:val="0"/>
      <w:marBottom w:val="0"/>
      <w:divBdr>
        <w:top w:val="none" w:sz="0" w:space="0" w:color="auto"/>
        <w:left w:val="none" w:sz="0" w:space="0" w:color="auto"/>
        <w:bottom w:val="none" w:sz="0" w:space="0" w:color="auto"/>
        <w:right w:val="none" w:sz="0" w:space="0" w:color="auto"/>
      </w:divBdr>
    </w:div>
    <w:div w:id="1702894483">
      <w:bodyDiv w:val="1"/>
      <w:marLeft w:val="0"/>
      <w:marRight w:val="0"/>
      <w:marTop w:val="0"/>
      <w:marBottom w:val="0"/>
      <w:divBdr>
        <w:top w:val="none" w:sz="0" w:space="0" w:color="auto"/>
        <w:left w:val="none" w:sz="0" w:space="0" w:color="auto"/>
        <w:bottom w:val="none" w:sz="0" w:space="0" w:color="auto"/>
        <w:right w:val="none" w:sz="0" w:space="0" w:color="auto"/>
      </w:divBdr>
      <w:divsChild>
        <w:div w:id="638193894">
          <w:marLeft w:val="0"/>
          <w:marRight w:val="0"/>
          <w:marTop w:val="0"/>
          <w:marBottom w:val="0"/>
          <w:divBdr>
            <w:top w:val="none" w:sz="0" w:space="0" w:color="auto"/>
            <w:left w:val="none" w:sz="0" w:space="0" w:color="auto"/>
            <w:bottom w:val="none" w:sz="0" w:space="0" w:color="auto"/>
            <w:right w:val="none" w:sz="0" w:space="0" w:color="auto"/>
          </w:divBdr>
        </w:div>
      </w:divsChild>
    </w:div>
    <w:div w:id="211022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finance.gov/data-research/research-reports/using-publicly-available-information-to-proxy-for-unidentified-race-and-ethnicity/" TargetMode="External"/><Relationship Id="rId13" Type="http://schemas.openxmlformats.org/officeDocument/2006/relationships/hyperlink" Target="https://www.ecfr.gov/current/title-29/subtitle-B/chapter-XIV/part-16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ca.org.uk" TargetMode="External"/><Relationship Id="rId12" Type="http://schemas.openxmlformats.org/officeDocument/2006/relationships/hyperlink" Target="https://www.experian.co.uk/consumer/credit-score.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nsus.gov/data/tables/time-series/demo/income-poverty/historical-income-households.html" TargetMode="External"/><Relationship Id="rId5" Type="http://schemas.openxmlformats.org/officeDocument/2006/relationships/footnotes" Target="footnotes.xml"/><Relationship Id="rId15" Type="http://schemas.openxmlformats.org/officeDocument/2006/relationships/hyperlink" Target="https://www.fca.org.uk/news/blogs/year-2-consumer-duty-board-reports-progress-and-what-comes-next" TargetMode="External"/><Relationship Id="rId10" Type="http://schemas.openxmlformats.org/officeDocument/2006/relationships/hyperlink" Target="https://data.census.gov" TargetMode="External"/><Relationship Id="rId4" Type="http://schemas.openxmlformats.org/officeDocument/2006/relationships/webSettings" Target="webSettings.xml"/><Relationship Id="rId9" Type="http://schemas.openxmlformats.org/officeDocument/2006/relationships/hyperlink" Target="https://www.census.gov/topics/population/genealogy/data/2010_surnames.html" TargetMode="External"/><Relationship Id="rId14" Type="http://schemas.openxmlformats.org/officeDocument/2006/relationships/hyperlink" Target="https://www.ons.gov.uk/peoplepopulationandcommunity/culturalidentity/ethni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#ANANDAN ERUCHAMMA BHUVANESWARI#</dc:creator>
  <cp:keywords/>
  <dc:description/>
  <cp:lastModifiedBy>#ANANDAN ERUCHAMMA BHUVANESWARI#</cp:lastModifiedBy>
  <cp:revision>3</cp:revision>
  <dcterms:created xsi:type="dcterms:W3CDTF">2026-05-18T13:37:00Z</dcterms:created>
  <dcterms:modified xsi:type="dcterms:W3CDTF">2026-05-19T12:16:00Z</dcterms:modified>
</cp:coreProperties>
</file>