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B1688A" w14:textId="67197E13" w:rsidR="00696F2E" w:rsidRPr="00434715" w:rsidRDefault="00696F2E" w:rsidP="00434715">
      <w:pPr>
        <w:pStyle w:val="ListParagraph"/>
        <w:numPr>
          <w:ilvl w:val="0"/>
          <w:numId w:val="1"/>
        </w:numPr>
        <w:ind w:left="-360" w:hanging="180"/>
        <w:rPr>
          <w:rFonts w:ascii="Calibri" w:hAnsi="Calibri" w:cs="Calibri"/>
          <w:b/>
          <w:bCs/>
          <w:sz w:val="16"/>
          <w:szCs w:val="16"/>
        </w:rPr>
      </w:pPr>
      <w:r w:rsidRPr="00434715">
        <w:rPr>
          <w:rFonts w:ascii="Calibri" w:hAnsi="Calibri" w:cs="Calibri"/>
          <w:b/>
          <w:bCs/>
          <w:sz w:val="16"/>
          <w:szCs w:val="16"/>
        </w:rPr>
        <w:t>What the tool does</w:t>
      </w:r>
    </w:p>
    <w:p w14:paraId="2E1FA86C" w14:textId="305C5935" w:rsidR="00696F2E" w:rsidRPr="00434715" w:rsidRDefault="00696F2E" w:rsidP="00434715">
      <w:pPr>
        <w:ind w:left="-450"/>
        <w:rPr>
          <w:rFonts w:ascii="Calibri" w:hAnsi="Calibri" w:cs="Calibri"/>
          <w:sz w:val="16"/>
          <w:szCs w:val="16"/>
        </w:rPr>
      </w:pPr>
      <w:r w:rsidRPr="00434715">
        <w:rPr>
          <w:rFonts w:ascii="Calibri" w:hAnsi="Calibri" w:cs="Calibri"/>
          <w:sz w:val="16"/>
          <w:szCs w:val="16"/>
        </w:rPr>
        <w:t xml:space="preserve">FairScope is designed to help HSBC monitor whether its retail credit decisions are fair across the US and UK. The main reason for the tool is that fair lending is not treated the same way in both countries. In the US, FairScope uses a Gradient Boosting machine learning model to score credit applications and then applies BISG (Bayesian Improved Surname Geocoding) to estimate race at an aggregate level where direct race data is not available. It checks whether approval rates differ across estimated groups using the four-fifths rule as an internal screening metric. In the UK, the approach is different. FairScope uses the same type of machine learning model but with different input </w:t>
      </w:r>
      <w:proofErr w:type="gramStart"/>
      <w:r w:rsidRPr="00434715">
        <w:rPr>
          <w:rFonts w:ascii="Calibri" w:hAnsi="Calibri" w:cs="Calibri"/>
          <w:sz w:val="16"/>
          <w:szCs w:val="16"/>
        </w:rPr>
        <w:t>features, and</w:t>
      </w:r>
      <w:proofErr w:type="gramEnd"/>
      <w:r w:rsidRPr="00434715">
        <w:rPr>
          <w:rFonts w:ascii="Calibri" w:hAnsi="Calibri" w:cs="Calibri"/>
          <w:sz w:val="16"/>
          <w:szCs w:val="16"/>
        </w:rPr>
        <w:t xml:space="preserve"> relies on voluntary self-declared protected-characteristic data rather than BISG. It then checks whether customer outcomes are fair under the FCA Consumer Duty and Equality Act 2010. It does not run BISG for UK applicants because inferring ethnicity from name and postcode could create UK GDPR and data-protection concerns. In both pipelines, SHAP (SHapley Additive exPlanations) is used to detect whether any permitted features — particularly geographic ones like zip code or postcode — are acting as hidden proxies for race or ethnicity.</w:t>
      </w:r>
    </w:p>
    <w:p w14:paraId="0F8D0B4F" w14:textId="56E9442E" w:rsidR="00696F2E" w:rsidRPr="00434715" w:rsidRDefault="00696F2E" w:rsidP="00434715">
      <w:pPr>
        <w:pStyle w:val="ListParagraph"/>
        <w:numPr>
          <w:ilvl w:val="0"/>
          <w:numId w:val="1"/>
        </w:numPr>
        <w:ind w:left="-90"/>
        <w:rPr>
          <w:rFonts w:ascii="Calibri" w:hAnsi="Calibri" w:cs="Calibri"/>
          <w:b/>
          <w:bCs/>
          <w:sz w:val="16"/>
          <w:szCs w:val="16"/>
        </w:rPr>
      </w:pPr>
      <w:r w:rsidRPr="00434715">
        <w:rPr>
          <w:rFonts w:ascii="Calibri" w:hAnsi="Calibri" w:cs="Calibri"/>
          <w:b/>
          <w:bCs/>
          <w:sz w:val="16"/>
          <w:szCs w:val="16"/>
        </w:rPr>
        <w:t>Key design choices and why:</w:t>
      </w:r>
    </w:p>
    <w:p w14:paraId="30F78189" w14:textId="77777777" w:rsidR="00696F2E" w:rsidRPr="00434715" w:rsidRDefault="00696F2E" w:rsidP="00434715">
      <w:pPr>
        <w:pStyle w:val="ListParagraph"/>
        <w:numPr>
          <w:ilvl w:val="0"/>
          <w:numId w:val="3"/>
        </w:numPr>
        <w:ind w:left="-90"/>
        <w:rPr>
          <w:rFonts w:ascii="Calibri" w:hAnsi="Calibri" w:cs="Calibri"/>
          <w:sz w:val="16"/>
          <w:szCs w:val="16"/>
        </w:rPr>
      </w:pPr>
      <w:r w:rsidRPr="00434715">
        <w:rPr>
          <w:rFonts w:ascii="Calibri" w:hAnsi="Calibri" w:cs="Calibri"/>
          <w:b/>
          <w:bCs/>
          <w:sz w:val="16"/>
          <w:szCs w:val="16"/>
        </w:rPr>
        <w:t>Separate pipelines for the US and UK.</w:t>
      </w:r>
      <w:r w:rsidRPr="00434715">
        <w:rPr>
          <w:rFonts w:ascii="Calibri" w:hAnsi="Calibri" w:cs="Calibri"/>
          <w:sz w:val="16"/>
          <w:szCs w:val="16"/>
        </w:rPr>
        <w:br/>
        <w:t>US and UK applications are processed separately. This is important because the data and legal requirements are different. For example, UK equality data should not enter the US credit decision pipeline, and US BISG logic should not be applied to UK applicants. The downside is that the system is more complex, but the benefit is that a change in one jurisdiction will not silently affect the other.</w:t>
      </w:r>
    </w:p>
    <w:p w14:paraId="22312236" w14:textId="77777777" w:rsidR="00696F2E" w:rsidRPr="00434715" w:rsidRDefault="00696F2E" w:rsidP="00434715">
      <w:pPr>
        <w:pStyle w:val="ListParagraph"/>
        <w:numPr>
          <w:ilvl w:val="0"/>
          <w:numId w:val="3"/>
        </w:numPr>
        <w:ind w:left="-90" w:hanging="450"/>
        <w:rPr>
          <w:rFonts w:ascii="Calibri" w:hAnsi="Calibri" w:cs="Calibri"/>
          <w:sz w:val="16"/>
          <w:szCs w:val="16"/>
        </w:rPr>
      </w:pPr>
      <w:r w:rsidRPr="00434715">
        <w:rPr>
          <w:rFonts w:ascii="Calibri" w:hAnsi="Calibri" w:cs="Calibri"/>
          <w:b/>
          <w:bCs/>
          <w:sz w:val="16"/>
          <w:szCs w:val="16"/>
        </w:rPr>
        <w:t>Versioned jurisdiction configuration.</w:t>
      </w:r>
      <w:r w:rsidRPr="00434715">
        <w:rPr>
          <w:rFonts w:ascii="Calibri" w:hAnsi="Calibri" w:cs="Calibri"/>
          <w:sz w:val="16"/>
          <w:szCs w:val="16"/>
        </w:rPr>
        <w:br/>
      </w:r>
      <w:proofErr w:type="spellStart"/>
      <w:r w:rsidRPr="00434715">
        <w:rPr>
          <w:rFonts w:ascii="Calibri" w:hAnsi="Calibri" w:cs="Calibri"/>
          <w:sz w:val="16"/>
          <w:szCs w:val="16"/>
        </w:rPr>
        <w:t>FairScope</w:t>
      </w:r>
      <w:proofErr w:type="spellEnd"/>
      <w:r w:rsidRPr="00434715">
        <w:rPr>
          <w:rFonts w:ascii="Calibri" w:hAnsi="Calibri" w:cs="Calibri"/>
          <w:sz w:val="16"/>
          <w:szCs w:val="16"/>
        </w:rPr>
        <w:t xml:space="preserve"> stores each jurisdiction’s rules in a versioned configuration record. This includes the fairness standard, race inference method, adverse action template, and effective date. Old records are archived rather than overwritten. This means HSBC can later show exactly which regulatory settings were used for a past credit decision.</w:t>
      </w:r>
    </w:p>
    <w:p w14:paraId="51FA495C" w14:textId="77777777" w:rsidR="00696F2E" w:rsidRPr="00434715" w:rsidRDefault="00696F2E" w:rsidP="00434715">
      <w:pPr>
        <w:pStyle w:val="ListParagraph"/>
        <w:numPr>
          <w:ilvl w:val="0"/>
          <w:numId w:val="3"/>
        </w:numPr>
        <w:ind w:left="-90"/>
        <w:rPr>
          <w:rFonts w:ascii="Calibri" w:hAnsi="Calibri" w:cs="Calibri"/>
          <w:sz w:val="16"/>
          <w:szCs w:val="16"/>
        </w:rPr>
      </w:pPr>
      <w:r w:rsidRPr="00434715">
        <w:rPr>
          <w:rFonts w:ascii="Calibri" w:hAnsi="Calibri" w:cs="Calibri"/>
          <w:sz w:val="16"/>
          <w:szCs w:val="16"/>
        </w:rPr>
        <w:t>Machine learning model and SHAP explainability.</w:t>
      </w:r>
      <w:r w:rsidRPr="00434715">
        <w:rPr>
          <w:rFonts w:ascii="Calibri" w:hAnsi="Calibri" w:cs="Calibri"/>
          <w:sz w:val="16"/>
          <w:szCs w:val="16"/>
        </w:rPr>
        <w:br/>
        <w:t xml:space="preserve">Both the US and UK pipelines train a Gradient Boosting Classifier (GBM) on credit application data. The model receives only credit-risk features such as credit score, debt-to-income ratio, and loan purpose, as well as geographic features such as zip code or postcode. Race and ethnicity are not features in either model. SHAP (SHapley Additive exPlanations) is then applied using </w:t>
      </w:r>
      <w:proofErr w:type="gramStart"/>
      <w:r w:rsidRPr="00434715">
        <w:rPr>
          <w:rFonts w:ascii="Calibri" w:hAnsi="Calibri" w:cs="Calibri"/>
          <w:sz w:val="16"/>
          <w:szCs w:val="16"/>
        </w:rPr>
        <w:t>shap.TreeExplainer</w:t>
      </w:r>
      <w:proofErr w:type="gramEnd"/>
      <w:r w:rsidRPr="00434715">
        <w:rPr>
          <w:rFonts w:ascii="Calibri" w:hAnsi="Calibri" w:cs="Calibri"/>
          <w:sz w:val="16"/>
          <w:szCs w:val="16"/>
        </w:rPr>
        <w:t>, which gives exact and reproducible contribution values for each feature and each prediction. If a geographic feature's share of total SHAP importance exceeds 15 percent — the proxy alert threshold set in each jurisdiction's configuration record — FairScope raises a proxy alert. The response to that alert is deliberately different depending on the jurisdiction. In the US pipeline, a zip code proxy alert triggers the BISG race estimation and the four-fifths disparity check, with a CCO notification. In the UK pipeline, the same type of alert triggers a Consumer Duty review flag and a notification to the Data Protection Officer. This is the core jurisdiction-aware feature of the tool: the same SHAP signal produces a different regulatory response depending on which country's rules apply.</w:t>
      </w:r>
    </w:p>
    <w:p w14:paraId="02A697CD" w14:textId="5BE6258B" w:rsidR="00696F2E" w:rsidRPr="00434715" w:rsidRDefault="00696F2E" w:rsidP="00434715">
      <w:pPr>
        <w:pStyle w:val="ListParagraph"/>
        <w:numPr>
          <w:ilvl w:val="0"/>
          <w:numId w:val="3"/>
        </w:numPr>
        <w:ind w:left="-90"/>
        <w:rPr>
          <w:rFonts w:ascii="Calibri" w:hAnsi="Calibri" w:cs="Calibri"/>
          <w:sz w:val="16"/>
          <w:szCs w:val="16"/>
        </w:rPr>
      </w:pPr>
      <w:r w:rsidRPr="00434715">
        <w:rPr>
          <w:rFonts w:ascii="Calibri" w:hAnsi="Calibri" w:cs="Calibri"/>
          <w:b/>
          <w:bCs/>
          <w:sz w:val="16"/>
          <w:szCs w:val="16"/>
        </w:rPr>
        <w:t>Human sign-off for important outputs.</w:t>
      </w:r>
      <w:r w:rsidRPr="00434715">
        <w:rPr>
          <w:rFonts w:ascii="Calibri" w:hAnsi="Calibri" w:cs="Calibri"/>
          <w:sz w:val="16"/>
          <w:szCs w:val="16"/>
        </w:rPr>
        <w:br/>
      </w:r>
      <w:proofErr w:type="spellStart"/>
      <w:r w:rsidRPr="00434715">
        <w:rPr>
          <w:rFonts w:ascii="Calibri" w:hAnsi="Calibri" w:cs="Calibri"/>
          <w:sz w:val="16"/>
          <w:szCs w:val="16"/>
        </w:rPr>
        <w:t>FairScope</w:t>
      </w:r>
      <w:proofErr w:type="spellEnd"/>
      <w:r w:rsidRPr="00434715">
        <w:rPr>
          <w:rFonts w:ascii="Calibri" w:hAnsi="Calibri" w:cs="Calibri"/>
          <w:sz w:val="16"/>
          <w:szCs w:val="16"/>
        </w:rPr>
        <w:t xml:space="preserve"> does not fully automate accountability. It can calculate, flag, and generate reports, but humans still make the final decisions. HMDA filings, model version changes, jurisdiction configuration updates, and regulatory exports all require human </w:t>
      </w:r>
      <w:proofErr w:type="spellStart"/>
      <w:r w:rsidRPr="00434715">
        <w:rPr>
          <w:rFonts w:ascii="Calibri" w:hAnsi="Calibri" w:cs="Calibri"/>
          <w:sz w:val="16"/>
          <w:szCs w:val="16"/>
        </w:rPr>
        <w:t>authorisation</w:t>
      </w:r>
      <w:proofErr w:type="spellEnd"/>
      <w:r w:rsidRPr="00434715">
        <w:rPr>
          <w:rFonts w:ascii="Calibri" w:hAnsi="Calibri" w:cs="Calibri"/>
          <w:sz w:val="16"/>
          <w:szCs w:val="16"/>
        </w:rPr>
        <w:t>.</w:t>
      </w:r>
    </w:p>
    <w:p w14:paraId="14BAAD1C" w14:textId="77777777" w:rsidR="00696F2E" w:rsidRPr="00434715" w:rsidRDefault="00696F2E" w:rsidP="00696F2E">
      <w:pPr>
        <w:pStyle w:val="ListParagraph"/>
        <w:rPr>
          <w:rFonts w:ascii="Calibri" w:hAnsi="Calibri" w:cs="Calibri"/>
          <w:sz w:val="16"/>
          <w:szCs w:val="16"/>
        </w:rPr>
      </w:pPr>
    </w:p>
    <w:p w14:paraId="4C1A5735" w14:textId="1117A72A" w:rsidR="00696F2E" w:rsidRPr="00434715" w:rsidRDefault="00696F2E" w:rsidP="00434715">
      <w:pPr>
        <w:pStyle w:val="ListParagraph"/>
        <w:numPr>
          <w:ilvl w:val="0"/>
          <w:numId w:val="1"/>
        </w:numPr>
        <w:ind w:left="-90"/>
        <w:rPr>
          <w:rFonts w:ascii="Calibri" w:hAnsi="Calibri" w:cs="Calibri"/>
          <w:b/>
          <w:bCs/>
          <w:sz w:val="16"/>
          <w:szCs w:val="16"/>
        </w:rPr>
      </w:pPr>
      <w:r w:rsidRPr="00434715">
        <w:rPr>
          <w:rFonts w:ascii="Calibri" w:hAnsi="Calibri" w:cs="Calibri"/>
          <w:b/>
          <w:bCs/>
          <w:sz w:val="16"/>
          <w:szCs w:val="16"/>
        </w:rPr>
        <w:t>What the tool does not do</w:t>
      </w:r>
      <w:r w:rsidR="008668A3" w:rsidRPr="00434715">
        <w:rPr>
          <w:rFonts w:ascii="Calibri" w:hAnsi="Calibri" w:cs="Calibri"/>
          <w:b/>
          <w:bCs/>
          <w:sz w:val="16"/>
          <w:szCs w:val="16"/>
        </w:rPr>
        <w:t>:</w:t>
      </w:r>
    </w:p>
    <w:p w14:paraId="19BF18A9" w14:textId="77777777" w:rsidR="00696F2E" w:rsidRPr="00434715" w:rsidRDefault="00696F2E" w:rsidP="00434715">
      <w:pPr>
        <w:pStyle w:val="ListParagraph"/>
        <w:numPr>
          <w:ilvl w:val="0"/>
          <w:numId w:val="2"/>
        </w:numPr>
        <w:ind w:left="-90"/>
        <w:rPr>
          <w:rFonts w:ascii="Calibri" w:hAnsi="Calibri" w:cs="Calibri"/>
          <w:sz w:val="16"/>
          <w:szCs w:val="16"/>
        </w:rPr>
      </w:pPr>
      <w:proofErr w:type="spellStart"/>
      <w:r w:rsidRPr="00434715">
        <w:rPr>
          <w:rFonts w:ascii="Calibri" w:hAnsi="Calibri" w:cs="Calibri"/>
          <w:sz w:val="16"/>
          <w:szCs w:val="16"/>
        </w:rPr>
        <w:t>FairScope</w:t>
      </w:r>
      <w:proofErr w:type="spellEnd"/>
      <w:r w:rsidRPr="00434715">
        <w:rPr>
          <w:rFonts w:ascii="Calibri" w:hAnsi="Calibri" w:cs="Calibri"/>
          <w:sz w:val="16"/>
          <w:szCs w:val="16"/>
        </w:rPr>
        <w:t xml:space="preserve"> does not make lending decisions. HSBC’s underwriting system still decides whether to approve or reject an application.</w:t>
      </w:r>
    </w:p>
    <w:p w14:paraId="24D481F2" w14:textId="24B6F419" w:rsidR="00696F2E" w:rsidRPr="00434715" w:rsidRDefault="00696F2E" w:rsidP="00434715">
      <w:pPr>
        <w:pStyle w:val="ListParagraph"/>
        <w:numPr>
          <w:ilvl w:val="0"/>
          <w:numId w:val="2"/>
        </w:numPr>
        <w:ind w:left="-90"/>
        <w:rPr>
          <w:rFonts w:ascii="Calibri" w:hAnsi="Calibri" w:cs="Calibri"/>
          <w:sz w:val="16"/>
          <w:szCs w:val="16"/>
        </w:rPr>
      </w:pPr>
      <w:proofErr w:type="spellStart"/>
      <w:r w:rsidRPr="00434715">
        <w:rPr>
          <w:rFonts w:ascii="Calibri" w:hAnsi="Calibri" w:cs="Calibri"/>
          <w:sz w:val="16"/>
          <w:szCs w:val="16"/>
        </w:rPr>
        <w:t>FairScope</w:t>
      </w:r>
      <w:proofErr w:type="spellEnd"/>
      <w:r w:rsidRPr="00434715">
        <w:rPr>
          <w:rFonts w:ascii="Calibri" w:hAnsi="Calibri" w:cs="Calibri"/>
          <w:sz w:val="16"/>
          <w:szCs w:val="16"/>
        </w:rPr>
        <w:t xml:space="preserve"> does not infer race for UK applicants. It only uses protected-characteristic data where it is voluntarily provided and lawfully collected.</w:t>
      </w:r>
    </w:p>
    <w:p w14:paraId="0789EAA6" w14:textId="77777777" w:rsidR="00696F2E" w:rsidRPr="00434715" w:rsidRDefault="00696F2E" w:rsidP="00434715">
      <w:pPr>
        <w:pStyle w:val="ListParagraph"/>
        <w:numPr>
          <w:ilvl w:val="0"/>
          <w:numId w:val="2"/>
        </w:numPr>
        <w:ind w:left="-90"/>
        <w:rPr>
          <w:rFonts w:ascii="Calibri" w:hAnsi="Calibri" w:cs="Calibri"/>
          <w:sz w:val="16"/>
          <w:szCs w:val="16"/>
        </w:rPr>
      </w:pPr>
      <w:proofErr w:type="spellStart"/>
      <w:r w:rsidRPr="00434715">
        <w:rPr>
          <w:rFonts w:ascii="Calibri" w:hAnsi="Calibri" w:cs="Calibri"/>
          <w:sz w:val="16"/>
          <w:szCs w:val="16"/>
        </w:rPr>
        <w:t>FairScope</w:t>
      </w:r>
      <w:proofErr w:type="spellEnd"/>
      <w:r w:rsidRPr="00434715">
        <w:rPr>
          <w:rFonts w:ascii="Calibri" w:hAnsi="Calibri" w:cs="Calibri"/>
          <w:sz w:val="16"/>
          <w:szCs w:val="16"/>
        </w:rPr>
        <w:t xml:space="preserve"> also does not solve the UK non-response problem. Some applicants may choose “Prefer not to say” for ethnicity. In the prototype, this is assumed to be around 30%. </w:t>
      </w:r>
      <w:proofErr w:type="spellStart"/>
      <w:r w:rsidRPr="00434715">
        <w:rPr>
          <w:rFonts w:ascii="Calibri" w:hAnsi="Calibri" w:cs="Calibri"/>
          <w:sz w:val="16"/>
          <w:szCs w:val="16"/>
        </w:rPr>
        <w:t>FairScope</w:t>
      </w:r>
      <w:proofErr w:type="spellEnd"/>
      <w:r w:rsidRPr="00434715">
        <w:rPr>
          <w:rFonts w:ascii="Calibri" w:hAnsi="Calibri" w:cs="Calibri"/>
          <w:sz w:val="16"/>
          <w:szCs w:val="16"/>
        </w:rPr>
        <w:t xml:space="preserve"> reports the non-response rate clearly instead of guessing missing values.</w:t>
      </w:r>
    </w:p>
    <w:p w14:paraId="4B004E75" w14:textId="77777777" w:rsidR="00434715" w:rsidRDefault="00696F2E" w:rsidP="00434715">
      <w:pPr>
        <w:pStyle w:val="ListParagraph"/>
        <w:numPr>
          <w:ilvl w:val="0"/>
          <w:numId w:val="2"/>
        </w:numPr>
        <w:ind w:left="-90"/>
        <w:rPr>
          <w:rFonts w:ascii="Calibri" w:hAnsi="Calibri" w:cs="Calibri"/>
          <w:sz w:val="16"/>
          <w:szCs w:val="16"/>
        </w:rPr>
      </w:pPr>
      <w:r w:rsidRPr="00434715">
        <w:rPr>
          <w:rFonts w:ascii="Calibri" w:hAnsi="Calibri" w:cs="Calibri"/>
          <w:sz w:val="16"/>
          <w:szCs w:val="16"/>
        </w:rPr>
        <w:t xml:space="preserve">It also does not cover every US state-level fair-lending requirement. The current prototype focuses on federal Regulation B and the UK framework. </w:t>
      </w:r>
    </w:p>
    <w:p w14:paraId="7F7CC770" w14:textId="77777777" w:rsidR="00696F2E" w:rsidRPr="00434715" w:rsidRDefault="00696F2E" w:rsidP="00696F2E">
      <w:pPr>
        <w:pStyle w:val="ListParagraph"/>
        <w:rPr>
          <w:rFonts w:ascii="Calibri" w:hAnsi="Calibri" w:cs="Calibri"/>
          <w:sz w:val="16"/>
          <w:szCs w:val="16"/>
        </w:rPr>
      </w:pPr>
    </w:p>
    <w:p w14:paraId="3BC18DC7" w14:textId="4898399C" w:rsidR="00696F2E" w:rsidRPr="00434715" w:rsidRDefault="00696F2E" w:rsidP="00696F2E">
      <w:pPr>
        <w:pStyle w:val="ListParagraph"/>
        <w:numPr>
          <w:ilvl w:val="0"/>
          <w:numId w:val="1"/>
        </w:numPr>
        <w:rPr>
          <w:rFonts w:ascii="Calibri" w:hAnsi="Calibri" w:cs="Calibri"/>
          <w:b/>
          <w:bCs/>
          <w:sz w:val="16"/>
          <w:szCs w:val="16"/>
        </w:rPr>
      </w:pPr>
      <w:r w:rsidRPr="00434715">
        <w:rPr>
          <w:rFonts w:ascii="Calibri" w:hAnsi="Calibri" w:cs="Calibri"/>
          <w:b/>
          <w:bCs/>
          <w:sz w:val="16"/>
          <w:szCs w:val="16"/>
        </w:rPr>
        <w:t>The political reality this tool handles</w:t>
      </w:r>
    </w:p>
    <w:p w14:paraId="4E8AA4CC" w14:textId="588FC803" w:rsidR="00696F2E" w:rsidRPr="00434715" w:rsidRDefault="00696F2E" w:rsidP="00696F2E">
      <w:pPr>
        <w:rPr>
          <w:rFonts w:ascii="Calibri" w:hAnsi="Calibri" w:cs="Calibri"/>
          <w:sz w:val="16"/>
          <w:szCs w:val="16"/>
        </w:rPr>
      </w:pPr>
      <w:proofErr w:type="spellStart"/>
      <w:r w:rsidRPr="00434715">
        <w:rPr>
          <w:rFonts w:ascii="Calibri" w:hAnsi="Calibri" w:cs="Calibri"/>
          <w:sz w:val="16"/>
          <w:szCs w:val="16"/>
        </w:rPr>
        <w:t>FairScope</w:t>
      </w:r>
      <w:proofErr w:type="spellEnd"/>
      <w:r w:rsidRPr="00434715">
        <w:rPr>
          <w:rFonts w:ascii="Calibri" w:hAnsi="Calibri" w:cs="Calibri"/>
          <w:sz w:val="16"/>
          <w:szCs w:val="16"/>
        </w:rPr>
        <w:t xml:space="preserve"> is built around the fact that the US and UK have made different political and regulatory </w:t>
      </w:r>
      <w:proofErr w:type="spellStart"/>
      <w:proofErr w:type="gramStart"/>
      <w:r w:rsidRPr="00434715">
        <w:rPr>
          <w:rFonts w:ascii="Calibri" w:hAnsi="Calibri" w:cs="Calibri"/>
          <w:sz w:val="16"/>
          <w:szCs w:val="16"/>
        </w:rPr>
        <w:t>choices.The</w:t>
      </w:r>
      <w:proofErr w:type="spellEnd"/>
      <w:proofErr w:type="gramEnd"/>
      <w:r w:rsidRPr="00434715">
        <w:rPr>
          <w:rFonts w:ascii="Calibri" w:hAnsi="Calibri" w:cs="Calibri"/>
          <w:sz w:val="16"/>
          <w:szCs w:val="16"/>
        </w:rPr>
        <w:t xml:space="preserve"> US approach has recently moved away from outcome-based disparate-impact analysis under federal Regulation B. The UK approach under Consumer Duty places more emphasis on whether firms can show good customer outcomes.</w:t>
      </w:r>
    </w:p>
    <w:p w14:paraId="74E6F3E3" w14:textId="3677D6CF" w:rsidR="00434715" w:rsidRDefault="00696F2E">
      <w:pPr>
        <w:rPr>
          <w:rFonts w:ascii="Calibri" w:hAnsi="Calibri" w:cs="Calibri"/>
          <w:sz w:val="16"/>
          <w:szCs w:val="16"/>
        </w:rPr>
      </w:pPr>
      <w:r w:rsidRPr="00434715">
        <w:rPr>
          <w:rFonts w:ascii="Calibri" w:hAnsi="Calibri" w:cs="Calibri"/>
          <w:sz w:val="16"/>
          <w:szCs w:val="16"/>
        </w:rPr>
        <w:t>These approaches cannot be treated as the same rule with different thresholds. FairScope makes the difference explicit by using separate jurisdiction configurations and separate analytical pipelines. One visible example is the SHAP proxy check: both pipelines run the same explainability calculation, but the action taken when a geographic feature exceeds the proxy threshold is governed by completely different regulatory logic. The US side links to BISG estimation and the four-fifths test. The UK side links to Consumer Duty outcome classification and data-protection obligations. This design makes the system easier to audit and prevents legal assumptions from being hidden inside shared code.</w:t>
      </w:r>
    </w:p>
    <w:p w14:paraId="0B63E9C2" w14:textId="2E788417" w:rsidR="00434715" w:rsidRPr="00434715" w:rsidRDefault="00434715" w:rsidP="00434715">
      <w:pPr>
        <w:pStyle w:val="ListParagraph"/>
        <w:ind w:left="-90"/>
        <w:rPr>
          <w:rFonts w:ascii="Calibri" w:hAnsi="Calibri" w:cs="Calibri"/>
          <w:sz w:val="16"/>
          <w:szCs w:val="16"/>
        </w:rPr>
      </w:pPr>
      <w:r>
        <w:rPr>
          <w:rFonts w:ascii="Calibri" w:hAnsi="Calibri" w:cs="Calibri"/>
          <w:sz w:val="16"/>
          <w:szCs w:val="16"/>
        </w:rPr>
        <w:t xml:space="preserve">Note: </w:t>
      </w:r>
      <w:r w:rsidRPr="00434715">
        <w:rPr>
          <w:rFonts w:ascii="Calibri" w:hAnsi="Calibri" w:cs="Calibri"/>
          <w:sz w:val="16"/>
          <w:szCs w:val="16"/>
        </w:rPr>
        <w:t xml:space="preserve">A partial implementation is provided in the accompanying </w:t>
      </w:r>
      <w:proofErr w:type="spellStart"/>
      <w:r w:rsidRPr="00434715">
        <w:rPr>
          <w:rFonts w:ascii="Calibri" w:hAnsi="Calibri" w:cs="Calibri"/>
          <w:sz w:val="16"/>
          <w:szCs w:val="16"/>
        </w:rPr>
        <w:t>Jupyter</w:t>
      </w:r>
      <w:proofErr w:type="spellEnd"/>
      <w:r w:rsidRPr="00434715">
        <w:rPr>
          <w:rFonts w:ascii="Calibri" w:hAnsi="Calibri" w:cs="Calibri"/>
          <w:sz w:val="16"/>
          <w:szCs w:val="16"/>
        </w:rPr>
        <w:t xml:space="preserve"> notebook (</w:t>
      </w:r>
      <w:proofErr w:type="spellStart"/>
      <w:r w:rsidRPr="00434715">
        <w:rPr>
          <w:rFonts w:ascii="Calibri" w:hAnsi="Calibri" w:cs="Calibri"/>
          <w:sz w:val="16"/>
          <w:szCs w:val="16"/>
        </w:rPr>
        <w:t>FairScope_Compliance_Tool.ipynb</w:t>
      </w:r>
      <w:proofErr w:type="spellEnd"/>
      <w:r w:rsidRPr="00434715">
        <w:rPr>
          <w:rFonts w:ascii="Calibri" w:hAnsi="Calibri" w:cs="Calibri"/>
          <w:sz w:val="16"/>
          <w:szCs w:val="16"/>
        </w:rPr>
        <w:t>), which generates synthetic data, trains both models, runs SHAP analysis, produces all nine figures, and outputs the compliance report templates. The notebook is a demonstration of the architecture, not a production system.</w:t>
      </w:r>
    </w:p>
    <w:sectPr w:rsidR="00434715" w:rsidRPr="0043471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A3A631" w14:textId="77777777" w:rsidR="007E715E" w:rsidRDefault="007E715E" w:rsidP="00696F2E">
      <w:pPr>
        <w:spacing w:after="0" w:line="240" w:lineRule="auto"/>
      </w:pPr>
      <w:r>
        <w:separator/>
      </w:r>
    </w:p>
  </w:endnote>
  <w:endnote w:type="continuationSeparator" w:id="0">
    <w:p w14:paraId="7F4CDD5E" w14:textId="77777777" w:rsidR="007E715E" w:rsidRDefault="007E715E" w:rsidP="00696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B19F55" w14:textId="77777777" w:rsidR="007E715E" w:rsidRDefault="007E715E" w:rsidP="00696F2E">
      <w:pPr>
        <w:spacing w:after="0" w:line="240" w:lineRule="auto"/>
      </w:pPr>
      <w:r>
        <w:separator/>
      </w:r>
    </w:p>
  </w:footnote>
  <w:footnote w:type="continuationSeparator" w:id="0">
    <w:p w14:paraId="39E33C4A" w14:textId="77777777" w:rsidR="007E715E" w:rsidRDefault="007E715E" w:rsidP="00696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B2E27" w14:textId="3C28BDCE" w:rsidR="00696F2E" w:rsidRPr="00434715" w:rsidRDefault="00696F2E" w:rsidP="00696F2E">
    <w:pPr>
      <w:pStyle w:val="Header"/>
      <w:rPr>
        <w:rFonts w:ascii="Calibri" w:hAnsi="Calibri" w:cs="Calibri"/>
        <w:sz w:val="17"/>
        <w:szCs w:val="17"/>
      </w:rPr>
    </w:pPr>
    <w:r w:rsidRPr="00434715">
      <w:rPr>
        <w:rFonts w:ascii="Calibri" w:hAnsi="Calibri" w:cs="Calibri"/>
        <w:sz w:val="17"/>
        <w:szCs w:val="17"/>
      </w:rPr>
      <w:t xml:space="preserve">Assignment 1   - Task 3 </w:t>
    </w:r>
    <w:proofErr w:type="gramStart"/>
    <w:r w:rsidRPr="00434715">
      <w:rPr>
        <w:rFonts w:ascii="Calibri" w:hAnsi="Calibri" w:cs="Calibri"/>
        <w:sz w:val="17"/>
        <w:szCs w:val="17"/>
      </w:rPr>
      <w:t>( One</w:t>
    </w:r>
    <w:proofErr w:type="gramEnd"/>
    <w:r w:rsidRPr="00434715">
      <w:rPr>
        <w:rFonts w:ascii="Calibri" w:hAnsi="Calibri" w:cs="Calibri"/>
        <w:sz w:val="17"/>
        <w:szCs w:val="17"/>
      </w:rPr>
      <w:t xml:space="preserve"> Page)</w:t>
    </w:r>
    <w:r w:rsidRPr="00434715">
      <w:rPr>
        <w:rFonts w:ascii="Calibri" w:hAnsi="Calibri" w:cs="Calibri"/>
        <w:sz w:val="17"/>
        <w:szCs w:val="17"/>
      </w:rPr>
      <w:tab/>
      <w:t xml:space="preserve">            Presented by: </w:t>
    </w:r>
    <w:proofErr w:type="spellStart"/>
    <w:r w:rsidRPr="00434715">
      <w:rPr>
        <w:rFonts w:ascii="Calibri" w:hAnsi="Calibri" w:cs="Calibri"/>
        <w:sz w:val="17"/>
        <w:szCs w:val="17"/>
      </w:rPr>
      <w:t>Anandan</w:t>
    </w:r>
    <w:proofErr w:type="spellEnd"/>
    <w:r w:rsidRPr="00434715">
      <w:rPr>
        <w:rFonts w:ascii="Calibri" w:hAnsi="Calibri" w:cs="Calibri"/>
        <w:sz w:val="17"/>
        <w:szCs w:val="17"/>
      </w:rPr>
      <w:t xml:space="preserve"> </w:t>
    </w:r>
    <w:proofErr w:type="spellStart"/>
    <w:r w:rsidRPr="00434715">
      <w:rPr>
        <w:rFonts w:ascii="Calibri" w:hAnsi="Calibri" w:cs="Calibri"/>
        <w:sz w:val="17"/>
        <w:szCs w:val="17"/>
      </w:rPr>
      <w:t>Erucham</w:t>
    </w:r>
    <w:r w:rsidR="008668A3" w:rsidRPr="00434715">
      <w:rPr>
        <w:rFonts w:ascii="Calibri" w:hAnsi="Calibri" w:cs="Calibri"/>
        <w:sz w:val="17"/>
        <w:szCs w:val="17"/>
      </w:rPr>
      <w:t>ma</w:t>
    </w:r>
    <w:proofErr w:type="spellEnd"/>
    <w:r w:rsidR="008668A3" w:rsidRPr="00434715">
      <w:rPr>
        <w:rFonts w:ascii="Calibri" w:hAnsi="Calibri" w:cs="Calibri"/>
        <w:sz w:val="17"/>
        <w:szCs w:val="17"/>
      </w:rPr>
      <w:t xml:space="preserve"> </w:t>
    </w:r>
    <w:r w:rsidRPr="00434715">
      <w:rPr>
        <w:rFonts w:ascii="Calibri" w:hAnsi="Calibri" w:cs="Calibri"/>
        <w:sz w:val="17"/>
        <w:szCs w:val="17"/>
      </w:rPr>
      <w:t>Bhuvaneswari ( G2506438A)</w:t>
    </w:r>
  </w:p>
  <w:p w14:paraId="1B5FA798" w14:textId="77777777" w:rsidR="00696F2E" w:rsidRDefault="00696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5A256A"/>
    <w:multiLevelType w:val="hybridMultilevel"/>
    <w:tmpl w:val="32240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050CBC"/>
    <w:multiLevelType w:val="hybridMultilevel"/>
    <w:tmpl w:val="7AF6A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541DE1"/>
    <w:multiLevelType w:val="hybridMultilevel"/>
    <w:tmpl w:val="F4CE4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2198270">
    <w:abstractNumId w:val="1"/>
  </w:num>
  <w:num w:numId="2" w16cid:durableId="539434231">
    <w:abstractNumId w:val="2"/>
  </w:num>
  <w:num w:numId="3" w16cid:durableId="1498154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F2E"/>
    <w:rsid w:val="00210232"/>
    <w:rsid w:val="00434715"/>
    <w:rsid w:val="00696F2E"/>
    <w:rsid w:val="007E715E"/>
    <w:rsid w:val="00826EF4"/>
    <w:rsid w:val="008668A3"/>
    <w:rsid w:val="0088644A"/>
    <w:rsid w:val="0094725F"/>
    <w:rsid w:val="00BD2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79120"/>
  <w15:chartTrackingRefBased/>
  <w15:docId w15:val="{AC5D6FD2-0074-2E44-AE24-763701DC7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F2E"/>
    <w:rPr>
      <w:rFonts w:eastAsiaTheme="majorEastAsia" w:cstheme="majorBidi"/>
      <w:color w:val="272727" w:themeColor="text1" w:themeTint="D8"/>
    </w:rPr>
  </w:style>
  <w:style w:type="paragraph" w:styleId="Title">
    <w:name w:val="Title"/>
    <w:basedOn w:val="Normal"/>
    <w:next w:val="Normal"/>
    <w:link w:val="TitleChar"/>
    <w:uiPriority w:val="10"/>
    <w:qFormat/>
    <w:rsid w:val="00696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F2E"/>
    <w:pPr>
      <w:spacing w:before="160"/>
      <w:jc w:val="center"/>
    </w:pPr>
    <w:rPr>
      <w:i/>
      <w:iCs/>
      <w:color w:val="404040" w:themeColor="text1" w:themeTint="BF"/>
    </w:rPr>
  </w:style>
  <w:style w:type="character" w:customStyle="1" w:styleId="QuoteChar">
    <w:name w:val="Quote Char"/>
    <w:basedOn w:val="DefaultParagraphFont"/>
    <w:link w:val="Quote"/>
    <w:uiPriority w:val="29"/>
    <w:rsid w:val="00696F2E"/>
    <w:rPr>
      <w:i/>
      <w:iCs/>
      <w:color w:val="404040" w:themeColor="text1" w:themeTint="BF"/>
    </w:rPr>
  </w:style>
  <w:style w:type="paragraph" w:styleId="ListParagraph">
    <w:name w:val="List Paragraph"/>
    <w:basedOn w:val="Normal"/>
    <w:uiPriority w:val="34"/>
    <w:qFormat/>
    <w:rsid w:val="00696F2E"/>
    <w:pPr>
      <w:ind w:left="720"/>
      <w:contextualSpacing/>
    </w:pPr>
  </w:style>
  <w:style w:type="character" w:styleId="IntenseEmphasis">
    <w:name w:val="Intense Emphasis"/>
    <w:basedOn w:val="DefaultParagraphFont"/>
    <w:uiPriority w:val="21"/>
    <w:qFormat/>
    <w:rsid w:val="00696F2E"/>
    <w:rPr>
      <w:i/>
      <w:iCs/>
      <w:color w:val="0F4761" w:themeColor="accent1" w:themeShade="BF"/>
    </w:rPr>
  </w:style>
  <w:style w:type="paragraph" w:styleId="IntenseQuote">
    <w:name w:val="Intense Quote"/>
    <w:basedOn w:val="Normal"/>
    <w:next w:val="Normal"/>
    <w:link w:val="IntenseQuoteChar"/>
    <w:uiPriority w:val="30"/>
    <w:qFormat/>
    <w:rsid w:val="00696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F2E"/>
    <w:rPr>
      <w:i/>
      <w:iCs/>
      <w:color w:val="0F4761" w:themeColor="accent1" w:themeShade="BF"/>
    </w:rPr>
  </w:style>
  <w:style w:type="character" w:styleId="IntenseReference">
    <w:name w:val="Intense Reference"/>
    <w:basedOn w:val="DefaultParagraphFont"/>
    <w:uiPriority w:val="32"/>
    <w:qFormat/>
    <w:rsid w:val="00696F2E"/>
    <w:rPr>
      <w:b/>
      <w:bCs/>
      <w:smallCaps/>
      <w:color w:val="0F4761" w:themeColor="accent1" w:themeShade="BF"/>
      <w:spacing w:val="5"/>
    </w:rPr>
  </w:style>
  <w:style w:type="paragraph" w:styleId="Header">
    <w:name w:val="header"/>
    <w:basedOn w:val="Normal"/>
    <w:link w:val="HeaderChar"/>
    <w:uiPriority w:val="99"/>
    <w:unhideWhenUsed/>
    <w:rsid w:val="00696F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F2E"/>
  </w:style>
  <w:style w:type="paragraph" w:styleId="Footer">
    <w:name w:val="footer"/>
    <w:basedOn w:val="Normal"/>
    <w:link w:val="FooterChar"/>
    <w:uiPriority w:val="99"/>
    <w:unhideWhenUsed/>
    <w:rsid w:val="00696F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6816460">
      <w:bodyDiv w:val="1"/>
      <w:marLeft w:val="0"/>
      <w:marRight w:val="0"/>
      <w:marTop w:val="0"/>
      <w:marBottom w:val="0"/>
      <w:divBdr>
        <w:top w:val="none" w:sz="0" w:space="0" w:color="auto"/>
        <w:left w:val="none" w:sz="0" w:space="0" w:color="auto"/>
        <w:bottom w:val="none" w:sz="0" w:space="0" w:color="auto"/>
        <w:right w:val="none" w:sz="0" w:space="0" w:color="auto"/>
      </w:divBdr>
    </w:div>
    <w:div w:id="1059091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859</Words>
  <Characters>4902</Characters>
  <Application>Microsoft Office Word</Application>
  <DocSecurity>0</DocSecurity>
  <Lines>40</Lines>
  <Paragraphs>11</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#ANANDAN ERUCHAMMA BHUVANESWARI#</dc:creator>
  <cp:keywords/>
  <dc:description/>
  <cp:lastModifiedBy>#ANANDAN ERUCHAMMA BHUVANESWARI#</cp:lastModifiedBy>
  <cp:revision>6</cp:revision>
  <dcterms:created xsi:type="dcterms:W3CDTF">2026-05-19T13:02:00Z</dcterms:created>
  <dcterms:modified xsi:type="dcterms:W3CDTF">2026-05-20T13:32:00Z</dcterms:modified>
</cp:coreProperties>
</file>