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CUSTOMER CHURN INTELLIGENCE PLATFORM</w:t>
      </w:r>
    </w:p>
    <w:p>
      <w:pPr>
        <w:spacing w:after="260"/>
      </w:pPr>
      <w:r>
        <w:rPr>
          <w:color w:val="0E7C7B"/>
          <w:sz w:val="26"/>
          <w:szCs w:val="26"/>
        </w:rPr>
        <w:t xml:space="preserve">Retention Playbook &amp; Segmentation Findings</w:t>
      </w:r>
    </w:p>
    <w:p>
      <w:pPr>
        <w:spacing w:after="40"/>
      </w:pPr>
      <w:r>
        <w:rPr>
          <w:color w:val="6B7280"/>
          <w:sz w:val="18"/>
          <w:szCs w:val="18"/>
        </w:rPr>
        <w:t xml:space="preserve">Dataset: IBM Telco Customer Churn — 7,043 customers  |  Tools: Python, Scikit-Learn, Power BI</w:t>
      </w:r>
    </w:p>
    <w:p>
      <w:pPr>
        <w:pStyle w:val="Heading1"/>
        <w:spacing w:after="160" w:before="300"/>
      </w:pPr>
      <w:r>
        <w:t xml:space="preserve">Executive Summary</w:t>
      </w:r>
    </w:p>
    <w:p>
      <w:pPr>
        <w:spacing w:after="140"/>
      </w:pPr>
      <w:r>
        <w:rPr>
          <w:sz w:val="21"/>
          <w:szCs w:val="21"/>
        </w:rPr>
        <w:t xml:space="preserve">Analysis of a 7,043-customer telecom dataset uncovered a 26.5% overall churn rate. Engineered engagement and risk-score features — built from tenure, service adoption, contract commitment, billing behaviour, and payment method — were used to segment the base into five behavioural cohorts via K-Means clustering, and to train a Random Forest classifier (AUC 0.85) that scores every active customer's near-term churn probability.</w:t>
      </w:r>
    </w:p>
    <w:p>
      <w:pPr>
        <w:spacing w:after="140"/>
      </w:pPr>
      <w:r>
        <w:rPr>
          <w:sz w:val="21"/>
          <w:szCs w:val="21"/>
        </w:rPr>
        <w:t xml:space="preserve">Churn risk is heavily concentrated: the At-Risk Newcomers cohort (21.5% of the base) churns at 59.7% and represents an estimated $882K of annual revenue exposure on its own — more than the bottom three cohorts combined. This playbook translates that segmentation into six targeted interventions, each mapped to a specific cohort and the model-confirmed driver behind it.</w:t>
      </w:r>
    </w:p>
    <w:p>
      <w:pPr>
        <w:pStyle w:val="Heading1"/>
        <w:spacing w:after="160" w:before="300"/>
      </w:pPr>
      <w:r>
        <w:t xml:space="preserve">Methodology</w:t>
      </w:r>
    </w:p>
    <w:p>
      <w:pPr>
        <w:pStyle w:val="Heading2"/>
        <w:spacing w:after="120" w:before="240"/>
      </w:pPr>
      <w:r>
        <w:t xml:space="preserve">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Engagement Score (0–100): weighted blend of tenure, breadth of services adopted, contract length, autopay enrolment, and paperless billing — a proxy for how “sticky” a customer relationship 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Risk Score (0–100): weighted blend of month-to-month contract status, low tenure, unprotected fiber service, charge-to-service ratio, electronic-check payment, and household anchoring (partner/dependents).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Both scores were validated against actual churn outcomes before use: Risk Score correlates at r = +0.50 with churn; Engagement Score at r = -0.34.</w:t>
      </w:r>
    </w:p>
    <w:p>
      <w:pPr>
        <w:pStyle w:val="Heading2"/>
        <w:spacing w:after="120" w:before="240"/>
      </w:pPr>
      <w:r>
        <w:t xml:space="preserve">Segmentation &amp; Modelling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K-Means clustering (k=5) on engagement, risk, tenure, monthly charges, services adopted, and contract score, standardised prior to clustering.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Random Forest classifier (300 trees, class-balanced) was trained on the engineered features to produce a per-customer churn probability, achieving an AUC of 0.85 on a held-out test 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Cohort labels were assigned from each cluster's realised profile (churn rate, spend, tenure, engagement) rather than a fixed naming order, so labels describe genuine behavioural archetypes.</w:t>
      </w:r>
    </w:p>
    <w:p>
      <w:pPr>
        <w:pStyle w:val="Heading1"/>
        <w:spacing w:after="160" w:before="300"/>
      </w:pPr>
      <w:r>
        <w:t xml:space="preserve">The Five Behavioural Cohorts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Cohort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Churn Rate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Engagement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 Score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Tenure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$/mo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At-Risk Newcomers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1,511 (21.5%)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59.7%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21.2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79.0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10.1 mo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$79.74</w:t>
            </w:r>
          </w:p>
        </w:tc>
      </w:tr>
      <w:tr>
        <w:tc>
          <w:tcPr>
            <w:tcW w:type="dxa" w:w="2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Wavering High-Spenders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1,381 (19.6%)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29.3%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46.2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48.3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37.5 mo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$85.93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Disengaged Low-Spenders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1,469 (20.9%)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28.0%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16.0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51.6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10.2 mo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$33.40</w:t>
            </w:r>
          </w:p>
        </w:tc>
      </w:tr>
      <w:tr>
        <w:tc>
          <w:tcPr>
            <w:tcW w:type="dxa" w:w="2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High-Value Champions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1,483 (21.1%)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8.2%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79.5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11.7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61.8 mo</w:t>
            </w:r>
          </w:p>
        </w:tc>
        <w:tc>
          <w:tcPr>
            <w:tcW w:type="dxa" w:w="135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$89.88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Contract-Locked Loyalists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1,199 (17.0%)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2.5%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52.2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13.0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45.3 mo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$28.86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t xml:space="preserve">Retention Playbook</w:t>
      </w:r>
    </w:p>
    <w:p>
      <w:pPr>
        <w:spacing w:after="140"/>
      </w:pPr>
      <w:r>
        <w:rPr>
          <w:color w:val="444444"/>
          <w:sz w:val="21"/>
          <w:szCs w:val="21"/>
        </w:rPr>
        <w:t xml:space="preserve">Six interventions, each targeted at the cohort and driver combination most likely to move the needle, ordered roughly by ease of execution.</w:t>
      </w:r>
    </w:p>
    <w:p>
      <w:pPr>
        <w:spacing w:after="40" w:before="260"/>
      </w:pPr>
      <w:r>
        <w:rPr>
          <w:b/>
          <w:bCs/>
          <w:color w:val="0E7C7B"/>
          <w:sz w:val="26"/>
          <w:szCs w:val="26"/>
        </w:rPr>
        <w:t xml:space="preserve">01  </w:t>
      </w:r>
      <w:r>
        <w:rPr>
          <w:b/>
          <w:bCs/>
          <w:color w:val="1A1A1A"/>
          <w:sz w:val="26"/>
          <w:szCs w:val="26"/>
        </w:rPr>
        <w:t xml:space="preserve">90-Day Contract Migration Offer</w:t>
      </w:r>
    </w:p>
    <w:p>
      <w:pPr>
        <w:spacing w:after="100"/>
      </w:pPr>
      <w:r>
        <w:rPr>
          <w:b/>
          <w:bCs/>
          <w:color w:val="6B7280"/>
          <w:sz w:val="19"/>
          <w:szCs w:val="19"/>
        </w:rPr>
        <w:t xml:space="preserve">Target cohort: </w:t>
      </w:r>
      <w:r>
        <w:rPr>
          <w:color w:val="6B7280"/>
          <w:sz w:val="19"/>
          <w:szCs w:val="19"/>
        </w:rPr>
        <w:t xml:space="preserve">At-Risk Newcomers, Wavering High-Spenders</w:t>
      </w:r>
    </w:p>
    <w:p>
      <w:pPr>
        <w:spacing w:after="140"/>
      </w:pPr>
      <w:r>
        <w:rPr>
          <w:i/>
          <w:iCs/>
          <w:color w:val="444444"/>
          <w:sz w:val="19"/>
          <w:szCs w:val="19"/>
        </w:rPr>
        <w:t xml:space="preserve">Contract type is the #2 driver in the churn model (16.7% importance); month-to-month customers churn at 42.7% vs. 2.8% on two-year contracts.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Trigger a one-time incentive (1–2 months free, or an equivalent bill credit) offering any month-to-month customer a discounted annual or two-year term within their first 90 days. Automate the offer at day 60 of tenure via email + in-app banner, with a follow-up call for accounts above $70/mo.</w:t>
      </w:r>
    </w:p>
    <w:p>
      <w:pPr>
        <w:spacing w:after="220"/>
      </w:pPr>
      <w:r>
        <w:rPr>
          <w:b/>
          <w:bCs/>
          <w:color w:val="0E7C7B"/>
          <w:sz w:val="21"/>
          <w:szCs w:val="21"/>
        </w:rPr>
        <w:t xml:space="preserve">Success metric: </w:t>
      </w:r>
      <w:r>
        <w:rPr>
          <w:sz w:val="21"/>
          <w:szCs w:val="21"/>
        </w:rPr>
        <w:t xml:space="preserve">Target: lift 90-day contract-conversion rate from a low base to 15%+ within two quarters; track churn-rate delta between converted and non-converted month-to-month customers.</w:t>
      </w:r>
    </w:p>
    <w:p>
      <w:pPr>
        <w:spacing w:after="40" w:before="260"/>
      </w:pPr>
      <w:r>
        <w:rPr>
          <w:b/>
          <w:bCs/>
          <w:color w:val="0E7C7B"/>
          <w:sz w:val="26"/>
          <w:szCs w:val="26"/>
        </w:rPr>
        <w:t xml:space="preserve">02  </w:t>
      </w:r>
      <w:r>
        <w:rPr>
          <w:b/>
          <w:bCs/>
          <w:color w:val="1A1A1A"/>
          <w:sz w:val="26"/>
          <w:szCs w:val="26"/>
        </w:rPr>
        <w:t xml:space="preserve">Fiber Security &amp; Support Bundle</w:t>
      </w:r>
    </w:p>
    <w:p>
      <w:pPr>
        <w:spacing w:after="100"/>
      </w:pPr>
      <w:r>
        <w:rPr>
          <w:b/>
          <w:bCs/>
          <w:color w:val="6B7280"/>
          <w:sz w:val="19"/>
          <w:szCs w:val="19"/>
        </w:rPr>
        <w:t xml:space="preserve">Target cohort: </w:t>
      </w:r>
      <w:r>
        <w:rPr>
          <w:color w:val="6B7280"/>
          <w:sz w:val="19"/>
          <w:szCs w:val="19"/>
        </w:rPr>
        <w:t xml:space="preserve">At-Risk Newcomers and Wavering High-Spenders on Fiber without Online Security / Tech Support</w:t>
      </w:r>
    </w:p>
    <w:p>
      <w:pPr>
        <w:spacing w:after="140"/>
      </w:pPr>
      <w:r>
        <w:rPr>
          <w:i/>
          <w:iCs/>
          <w:color w:val="444444"/>
          <w:sz w:val="19"/>
          <w:szCs w:val="19"/>
        </w:rPr>
        <w:t xml:space="preserve">The “Fiber without security add-ons” flag contributes 8.0% of model importance; unprotected fiber accounts churn at roughly 2x the rate of fully-protected fiber accounts.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Offer a free 60-day trial of Online Security and Tech Support to every fiber customer who has neither, delivered at signup and repeated at the 3-month mark if still unprotected. Auto-enroll opt-outs into a single reminder sequence rather than a hard sell.</w:t>
      </w:r>
    </w:p>
    <w:p>
      <w:pPr>
        <w:spacing w:after="220"/>
      </w:pPr>
      <w:r>
        <w:rPr>
          <w:b/>
          <w:bCs/>
          <w:color w:val="0E7C7B"/>
          <w:sz w:val="21"/>
          <w:szCs w:val="21"/>
        </w:rPr>
        <w:t xml:space="preserve">Success metric: </w:t>
      </w:r>
      <w:r>
        <w:rPr>
          <w:sz w:val="21"/>
          <w:szCs w:val="21"/>
        </w:rPr>
        <w:t xml:space="preserve">Target: 25% trial-to-paid attach rate; monitor churn-rate change for the trial cohort vs. a matched control group.</w:t>
      </w:r>
    </w:p>
    <w:p>
      <w:pPr>
        <w:spacing w:after="40" w:before="260"/>
      </w:pPr>
      <w:r>
        <w:rPr>
          <w:b/>
          <w:bCs/>
          <w:color w:val="0E7C7B"/>
          <w:sz w:val="26"/>
          <w:szCs w:val="26"/>
        </w:rPr>
        <w:t xml:space="preserve">03  </w:t>
      </w:r>
      <w:r>
        <w:rPr>
          <w:b/>
          <w:bCs/>
          <w:color w:val="1A1A1A"/>
          <w:sz w:val="26"/>
          <w:szCs w:val="26"/>
        </w:rPr>
        <w:t xml:space="preserve">First-90-Days Onboarding Journey</w:t>
      </w:r>
    </w:p>
    <w:p>
      <w:pPr>
        <w:spacing w:after="100"/>
      </w:pPr>
      <w:r>
        <w:rPr>
          <w:b/>
          <w:bCs/>
          <w:color w:val="6B7280"/>
          <w:sz w:val="19"/>
          <w:szCs w:val="19"/>
        </w:rPr>
        <w:t xml:space="preserve">Target cohort: </w:t>
      </w:r>
      <w:r>
        <w:rPr>
          <w:color w:val="6B7280"/>
          <w:sz w:val="19"/>
          <w:szCs w:val="19"/>
        </w:rPr>
        <w:t xml:space="preserve">At-Risk Newcomers, Disengaged Low-Spenders</w:t>
      </w:r>
    </w:p>
    <w:p>
      <w:pPr>
        <w:spacing w:after="140"/>
      </w:pPr>
      <w:r>
        <w:rPr>
          <w:i/>
          <w:iCs/>
          <w:color w:val="444444"/>
          <w:sz w:val="19"/>
          <w:szCs w:val="19"/>
        </w:rPr>
        <w:t xml:space="preserve">Tenure-based risk accounts for 20% of model importance. Customers in months 0–6 churn at 52.9%, more than double the rate seen at 25–36 months.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Build a structured onboarding sequence: welcome call within 48 hours, a usage/setup check-in at day 30, and a proactive support outreach at day 60 for any account showing low service usage. Prioritise the two short-tenure, low-engagement cohorts identified in the segmentation.</w:t>
      </w:r>
    </w:p>
    <w:p>
      <w:pPr>
        <w:spacing w:after="220"/>
      </w:pPr>
      <w:r>
        <w:rPr>
          <w:b/>
          <w:bCs/>
          <w:color w:val="0E7C7B"/>
          <w:sz w:val="21"/>
          <w:szCs w:val="21"/>
        </w:rPr>
        <w:t xml:space="preserve">Success metric: </w:t>
      </w:r>
      <w:r>
        <w:rPr>
          <w:sz w:val="21"/>
          <w:szCs w:val="21"/>
        </w:rPr>
        <w:t xml:space="preserve">Target: reduce 0–6 month churn rate from 52.9% toward the 7–12 month rate of 35.9% within one onboarding cohort cycle.</w:t>
      </w:r>
    </w:p>
    <w:p>
      <w:pPr>
        <w:spacing w:after="40" w:before="260"/>
      </w:pPr>
      <w:r>
        <w:rPr>
          <w:b/>
          <w:bCs/>
          <w:color w:val="0E7C7B"/>
          <w:sz w:val="26"/>
          <w:szCs w:val="26"/>
        </w:rPr>
        <w:t xml:space="preserve">04  </w:t>
      </w:r>
      <w:r>
        <w:rPr>
          <w:b/>
          <w:bCs/>
          <w:color w:val="1A1A1A"/>
          <w:sz w:val="26"/>
          <w:szCs w:val="26"/>
        </w:rPr>
        <w:t xml:space="preserve">Autopay Migration Incentive</w:t>
      </w:r>
    </w:p>
    <w:p>
      <w:pPr>
        <w:spacing w:after="100"/>
      </w:pPr>
      <w:r>
        <w:rPr>
          <w:b/>
          <w:bCs/>
          <w:color w:val="6B7280"/>
          <w:sz w:val="19"/>
          <w:szCs w:val="19"/>
        </w:rPr>
        <w:t xml:space="preserve">Target cohort: </w:t>
      </w:r>
      <w:r>
        <w:rPr>
          <w:color w:val="6B7280"/>
          <w:sz w:val="19"/>
          <w:szCs w:val="19"/>
        </w:rPr>
        <w:t xml:space="preserve">All cohorts paying by electronic check</w:t>
      </w:r>
    </w:p>
    <w:p>
      <w:pPr>
        <w:spacing w:after="140"/>
      </w:pPr>
      <w:r>
        <w:rPr>
          <w:i/>
          <w:iCs/>
          <w:color w:val="444444"/>
          <w:sz w:val="19"/>
          <w:szCs w:val="19"/>
        </w:rPr>
        <w:t xml:space="preserve">Electronic check payers churn at 45.3%, roughly 2–3x the rate of automatic bank transfer (16.7%) or credit card (15.2%) payers — one of the cheapest, highest-leverage levers available.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Offer a small one-time statement credit (e.g., $10–$15) for enrolling in automatic bank transfer or credit card payment. Surface the offer at the point of the customer's next manual payment.</w:t>
      </w:r>
    </w:p>
    <w:p>
      <w:pPr>
        <w:spacing w:after="220"/>
      </w:pPr>
      <w:r>
        <w:rPr>
          <w:b/>
          <w:bCs/>
          <w:color w:val="0E7C7B"/>
          <w:sz w:val="21"/>
          <w:szCs w:val="21"/>
        </w:rPr>
        <w:t xml:space="preserve">Success metric: </w:t>
      </w:r>
      <w:r>
        <w:rPr>
          <w:sz w:val="21"/>
          <w:szCs w:val="21"/>
        </w:rPr>
        <w:t xml:space="preserve">Target: shift 20% of electronic-check payers to autopay within two billing cycles; track churn-rate convergence toward the ~16% autopay baseline.</w:t>
      </w:r>
    </w:p>
    <w:p>
      <w:pPr>
        <w:spacing w:after="40" w:before="260"/>
      </w:pPr>
      <w:r>
        <w:rPr>
          <w:b/>
          <w:bCs/>
          <w:color w:val="0E7C7B"/>
          <w:sz w:val="26"/>
          <w:szCs w:val="26"/>
        </w:rPr>
        <w:t xml:space="preserve">05  </w:t>
      </w:r>
      <w:r>
        <w:rPr>
          <w:b/>
          <w:bCs/>
          <w:color w:val="1A1A1A"/>
          <w:sz w:val="26"/>
          <w:szCs w:val="26"/>
        </w:rPr>
        <w:t xml:space="preserve">High-Value Concierge Save Desk</w:t>
      </w:r>
    </w:p>
    <w:p>
      <w:pPr>
        <w:spacing w:after="100"/>
      </w:pPr>
      <w:r>
        <w:rPr>
          <w:b/>
          <w:bCs/>
          <w:color w:val="6B7280"/>
          <w:sz w:val="19"/>
          <w:szCs w:val="19"/>
        </w:rPr>
        <w:t xml:space="preserve">Target cohort: </w:t>
      </w:r>
      <w:r>
        <w:rPr>
          <w:color w:val="6B7280"/>
          <w:sz w:val="19"/>
          <w:szCs w:val="19"/>
        </w:rPr>
        <w:t xml:space="preserve">Wavering High-Spenders, and any High-Value Champion showing rising risk score</w:t>
      </w:r>
    </w:p>
    <w:p>
      <w:pPr>
        <w:spacing w:after="140"/>
      </w:pPr>
      <w:r>
        <w:rPr>
          <w:i/>
          <w:iCs/>
          <w:color w:val="444444"/>
          <w:sz w:val="19"/>
          <w:szCs w:val="19"/>
        </w:rPr>
        <w:t xml:space="preserve">Wavering High-Spenders alone hold an estimated $446K of annual revenue at risk despite representing under 20% of the base — the second-largest revenue exposure of any cohort.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Route any active customer whose model-predicted churn probability crosses 50%, combined with top-quartile monthly spend, to a named retention specialist for a proactive outreach call — ahead of standard win-back triggers.</w:t>
      </w:r>
    </w:p>
    <w:p>
      <w:pPr>
        <w:spacing w:after="220"/>
      </w:pPr>
      <w:r>
        <w:rPr>
          <w:b/>
          <w:bCs/>
          <w:color w:val="0E7C7B"/>
          <w:sz w:val="21"/>
          <w:szCs w:val="21"/>
        </w:rPr>
        <w:t xml:space="preserve">Success metric: </w:t>
      </w:r>
      <w:r>
        <w:rPr>
          <w:sz w:val="21"/>
          <w:szCs w:val="21"/>
        </w:rPr>
        <w:t xml:space="preserve">Target: contact 100% of qualifying accounts within 5 business days of flagging; track save rate and revenue retained per outreach.</w:t>
      </w:r>
    </w:p>
    <w:p>
      <w:pPr>
        <w:spacing w:after="40" w:before="260"/>
      </w:pPr>
      <w:r>
        <w:rPr>
          <w:b/>
          <w:bCs/>
          <w:color w:val="0E7C7B"/>
          <w:sz w:val="26"/>
          <w:szCs w:val="26"/>
        </w:rPr>
        <w:t xml:space="preserve">06  </w:t>
      </w:r>
      <w:r>
        <w:rPr>
          <w:b/>
          <w:bCs/>
          <w:color w:val="1A1A1A"/>
          <w:sz w:val="26"/>
          <w:szCs w:val="26"/>
        </w:rPr>
        <w:t xml:space="preserve">Service-Gap Cross-Sell Nudges</w:t>
      </w:r>
    </w:p>
    <w:p>
      <w:pPr>
        <w:spacing w:after="100"/>
      </w:pPr>
      <w:r>
        <w:rPr>
          <w:b/>
          <w:bCs/>
          <w:color w:val="6B7280"/>
          <w:sz w:val="19"/>
          <w:szCs w:val="19"/>
        </w:rPr>
        <w:t xml:space="preserve">Target cohort: </w:t>
      </w:r>
      <w:r>
        <w:rPr>
          <w:color w:val="6B7280"/>
          <w:sz w:val="19"/>
          <w:szCs w:val="19"/>
        </w:rPr>
        <w:t xml:space="preserve">Disengaged Low-Spenders</w:t>
      </w:r>
    </w:p>
    <w:p>
      <w:pPr>
        <w:spacing w:after="140"/>
      </w:pPr>
      <w:r>
        <w:rPr>
          <w:i/>
          <w:iCs/>
          <w:color w:val="444444"/>
          <w:sz w:val="19"/>
          <w:szCs w:val="19"/>
        </w:rPr>
        <w:t xml:space="preserve">This cohort averages just 1.4 adopted services and the lowest engagement score of any cohort (16.0), despite short tenure similar to At-Risk Newcomers. Engagement score is inversely correlated with churn (r = -0.34).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Trigger a lightweight, benefit-led nudge (email + in-app) recommending one relevant add-on based on the customer's existing internet/phone footprint — avoid bundling multiple offers at once, which tests worse for low-engagement segments.</w:t>
      </w:r>
    </w:p>
    <w:p>
      <w:pPr>
        <w:spacing w:after="220"/>
      </w:pPr>
      <w:r>
        <w:rPr>
          <w:b/>
          <w:bCs/>
          <w:color w:val="0E7C7B"/>
          <w:sz w:val="21"/>
          <w:szCs w:val="21"/>
        </w:rPr>
        <w:t xml:space="preserve">Success metric: </w:t>
      </w:r>
      <w:r>
        <w:rPr>
          <w:sz w:val="21"/>
          <w:szCs w:val="21"/>
        </w:rPr>
        <w:t xml:space="preserve">Target: lift average services adopted in this cohort from 1.4 to 2.0+ within two quarters; monitor engagement-score movement as a leading indicator.</w:t>
      </w:r>
    </w:p>
    <w:p>
      <w:pPr>
        <w:pStyle w:val="Heading1"/>
        <w:spacing w:after="160" w:before="300"/>
      </w:pPr>
      <w:r>
        <w:t xml:space="preserve">Recommended Rollout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Quarter 1: Autopay Migration Incentive (04) and Service-Gap Cross-Sell Nudges (06) — lowest-cost, fastest to implement.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Quarter 1–2: First-90-Days Onboarding Journey (03) — requires cross-functional coordination with support/success teams.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Quarter 2: 90-Day Contract Migration Offer (01) and Fiber Security &amp; Support Bundle (02) — require offer/discount infrastructure.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Ongoing: High-Value Concierge Save Desk (05) — staffed continuously once the model's daily risk scores are operationalised.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Customer Churn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E7C7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2026-09-22T06:50:43.924Z</dcterms:created>
  <dcterms:modified xsi:type="dcterms:W3CDTF">2026-09-22T06:50:43.934Z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