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Think about data in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Think about data in daily life.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Think about data in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27/10/2021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Think about data in daily life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Everyday data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Create a list of at least five questions: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1. How many hours do you spend daily watching netflix?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2. How many glasses of water do you drink daily?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3. How many times do you go to sleep without using your phone in a week?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4. How many job applications do you fill each day?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5. What flavours of tea do customers buy?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Now, select one of the five questions from your list to explore.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5f6368"/>
                <w:rtl w:val="0"/>
              </w:rPr>
              <w:t xml:space="preserve">Selected question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How many job applications do you fill each day?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What are some considerations or preferences you want to keep in mind when making a decision?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- To consider how many job portals you use.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- Any other methods other than this ( like referrals, open applications, etc)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- What kind of  jobs do you prefer?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What kind of information or data do you have access to that will influence your decision?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- The no. of  relevant jobs posted each day.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Are there any other things you might want to track associated with this decision?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- How many of these help you to get an interview?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- Track the success rate in your job search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yW748/learning-log-think-about-data-in-daily-lif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