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720" w:right="-720"/>
        <w:rPr>
          <w:rFonts w:ascii="Verdana" w:hAnsi="Verdana" w:cs="Verdana"/>
          <w:color w:val="808080"/>
        </w:rPr>
      </w:pPr>
      <w:bookmarkStart w:id="0" w:name="OLE_LINK1"/>
      <w:bookmarkStart w:id="1" w:name="OLE_LINK2"/>
      <w:bookmarkEnd w:id="0"/>
      <w:bookmarkEnd w:id="1"/>
      <w:r>
        <mc:AlternateContent>
          <mc:Choice Requires="wps">
            <w:drawing>
              <wp:anchor behindDoc="0" distT="0" distB="0" distL="114935" distR="114935" simplePos="0" locked="0" layoutInCell="1" allowOverlap="1" relativeHeight="4">
                <wp:simplePos x="0" y="0"/>
                <wp:positionH relativeFrom="column">
                  <wp:posOffset>-3810</wp:posOffset>
                </wp:positionH>
                <wp:positionV relativeFrom="paragraph">
                  <wp:posOffset>84455</wp:posOffset>
                </wp:positionV>
                <wp:extent cx="6744335" cy="1270"/>
                <wp:effectExtent l="635" t="5080" r="635" b="5080"/>
                <wp:wrapNone/>
                <wp:docPr id="1" name=""/>
                <a:graphic xmlns:a="http://schemas.openxmlformats.org/drawingml/2006/main">
                  <a:graphicData uri="http://schemas.microsoft.com/office/word/2010/wordprocessingShape">
                    <wps:wsp>
                      <wps:cNvCnPr/>
                      <wps:spPr>
                        <a:xfrm>
                          <a:off x="0" y="0"/>
                          <a:ext cx="674496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0.3pt;margin-top:6.65pt;width:531.05pt;height:0.05pt" type="_x0000_t32">
                <v:stroke color="black" weight="9360" joinstyle="miter" endcap="flat"/>
                <v:fill o:detectmouseclick="t" on="false"/>
                <w10:wrap type="none"/>
              </v:shape>
            </w:pict>
          </mc:Fallback>
        </mc:AlternateContent>
      </w:r>
      <w:r>
        <w:rPr>
          <w:rFonts w:cs="Verdana" w:ascii="Verdana" w:hAnsi="Verdana"/>
          <w:color w:val="808080"/>
        </w:rPr>
        <w:tab/>
      </w:r>
    </w:p>
    <w:p>
      <w:pPr>
        <w:pStyle w:val="Normal"/>
        <w:jc w:val="both"/>
        <w:rPr>
          <w:rFonts w:ascii="Verdana" w:hAnsi="Verdana" w:cs="Verdana"/>
          <w:b/>
          <w:color w:val="BF0000"/>
          <w:sz w:val="22"/>
          <w:szCs w:val="22"/>
          <w:u w:val="single"/>
        </w:rPr>
      </w:pPr>
      <w:bookmarkStart w:id="2" w:name="OLE_LINK10"/>
      <w:bookmarkEnd w:id="2"/>
      <w:r>
        <w:rPr>
          <w:rFonts w:cs="Verdana" w:ascii="Verdana" w:hAnsi="Verdana"/>
          <w:b/>
          <w:color w:val="BF0000"/>
          <w:sz w:val="22"/>
          <w:szCs w:val="22"/>
          <w:u w:val="single"/>
        </w:rPr>
        <w:t>Executive Summary</w:t>
      </w:r>
    </w:p>
    <w:p>
      <w:pPr>
        <w:pStyle w:val="Normal"/>
        <w:jc w:val="both"/>
        <w:rPr>
          <w:rFonts w:ascii="Verdana" w:hAnsi="Verdana" w:cs="Verdana"/>
          <w:b/>
          <w:color w:val="002060"/>
          <w:sz w:val="20"/>
          <w:szCs w:val="20"/>
          <w:u w:val="single"/>
        </w:rPr>
      </w:pPr>
      <w:r>
        <w:rPr>
          <w:rFonts w:cs="Verdana" w:ascii="Verdana" w:hAnsi="Verdana"/>
          <w:b/>
          <w:color w:val="002060"/>
          <w:sz w:val="20"/>
          <w:szCs w:val="20"/>
          <w:u w:val="single"/>
        </w:rPr>
      </w:r>
    </w:p>
    <w:p>
      <w:pPr>
        <w:pStyle w:val="Normal"/>
        <w:numPr>
          <w:ilvl w:val="0"/>
          <w:numId w:val="2"/>
        </w:numPr>
        <w:ind w:hanging="360" w:left="720" w:right="720"/>
        <w:jc w:val="both"/>
        <w:rPr>
          <w:rFonts w:ascii="Verdana" w:hAnsi="Verdana" w:cs="Verdana"/>
          <w:color w:val="002060"/>
          <w:sz w:val="20"/>
          <w:szCs w:val="20"/>
        </w:rPr>
      </w:pPr>
      <w:bookmarkStart w:id="3" w:name="OLE_LINK10"/>
      <w:bookmarkEnd w:id="3"/>
      <w:r>
        <w:rPr>
          <w:rFonts w:cs="Verdana" w:ascii="Verdana" w:hAnsi="Verdana"/>
          <w:color w:val="002060"/>
          <w:sz w:val="20"/>
          <w:szCs w:val="20"/>
        </w:rPr>
        <w:t>2 years of experience as Oracle ERP Technical consultant with expertise in P2P and O2C processes having upgradation and extension assignments.</w:t>
      </w:r>
    </w:p>
    <w:p>
      <w:pPr>
        <w:pStyle w:val="Normal"/>
        <w:numPr>
          <w:ilvl w:val="0"/>
          <w:numId w:val="2"/>
        </w:numPr>
        <w:ind w:hanging="360" w:left="720" w:right="720"/>
        <w:jc w:val="both"/>
        <w:rPr>
          <w:rFonts w:ascii="Verdana" w:hAnsi="Verdana" w:cs="Verdana"/>
          <w:color w:val="002060"/>
          <w:sz w:val="20"/>
          <w:szCs w:val="20"/>
        </w:rPr>
      </w:pPr>
      <w:r>
        <w:rPr>
          <w:rFonts w:cs="Verdana" w:ascii="Verdana" w:hAnsi="Verdana"/>
          <w:color w:val="002060"/>
          <w:sz w:val="20"/>
          <w:szCs w:val="20"/>
        </w:rPr>
        <w:t>Skilled in SQL, PL/SQL, Procedures, Functions and Packages.</w:t>
      </w:r>
    </w:p>
    <w:p>
      <w:pPr>
        <w:pStyle w:val="Normal"/>
        <w:numPr>
          <w:ilvl w:val="0"/>
          <w:numId w:val="2"/>
        </w:numPr>
        <w:ind w:hanging="360" w:left="720" w:right="720"/>
        <w:jc w:val="both"/>
        <w:rPr>
          <w:rFonts w:ascii="Verdana" w:hAnsi="Verdana" w:cs="Verdana"/>
          <w:strike/>
          <w:color w:val="002060"/>
          <w:sz w:val="20"/>
          <w:szCs w:val="20"/>
        </w:rPr>
      </w:pPr>
      <w:r>
        <w:rPr>
          <w:rFonts w:cs="Verdana" w:ascii="Verdana" w:hAnsi="Verdana"/>
          <w:color w:val="002060"/>
          <w:sz w:val="20"/>
          <w:szCs w:val="20"/>
        </w:rPr>
        <w:t xml:space="preserve">Have strong experience in dealing with client with excellent communication skill. </w:t>
      </w:r>
    </w:p>
    <w:p>
      <w:pPr>
        <w:pStyle w:val="Normal"/>
        <w:numPr>
          <w:ilvl w:val="0"/>
          <w:numId w:val="2"/>
        </w:numPr>
        <w:ind w:hanging="360" w:left="720" w:right="720"/>
        <w:jc w:val="both"/>
        <w:rPr>
          <w:rFonts w:ascii="Verdana" w:hAnsi="Verdana" w:cs="Verdana"/>
          <w:strike/>
          <w:color w:val="002060"/>
          <w:sz w:val="20"/>
          <w:szCs w:val="20"/>
        </w:rPr>
      </w:pPr>
      <w:r>
        <w:rPr>
          <w:rFonts w:cs="Verdana" w:ascii="Verdana" w:hAnsi="Verdana"/>
          <w:color w:val="002060"/>
          <w:sz w:val="20"/>
          <w:szCs w:val="20"/>
        </w:rPr>
        <w:t>Hands-on implementation/extension of Oracle EBS SCM modules iProcurement, PO, AR, AP and Inventory of 11i &amp; R12 including R12.2.</w:t>
      </w:r>
    </w:p>
    <w:p>
      <w:pPr>
        <w:pStyle w:val="Normal"/>
        <w:numPr>
          <w:ilvl w:val="0"/>
          <w:numId w:val="2"/>
        </w:numPr>
        <w:ind w:hanging="360" w:left="720" w:right="720"/>
        <w:jc w:val="both"/>
        <w:rPr>
          <w:rFonts w:ascii="Verdana" w:hAnsi="Verdana" w:cs="Verdana"/>
          <w:color w:val="002060"/>
          <w:sz w:val="20"/>
          <w:szCs w:val="20"/>
        </w:rPr>
      </w:pPr>
      <w:r>
        <w:rPr>
          <w:rFonts w:cs="Verdana" w:ascii="Verdana" w:hAnsi="Verdana"/>
          <w:color w:val="002060"/>
          <w:sz w:val="20"/>
          <w:szCs w:val="20"/>
        </w:rPr>
        <w:t>Active participation in end-to-end projects and good exposure in handling custom components and successful deployment.</w:t>
      </w:r>
    </w:p>
    <w:p>
      <w:pPr>
        <w:pStyle w:val="Normal"/>
        <w:numPr>
          <w:ilvl w:val="0"/>
          <w:numId w:val="2"/>
        </w:numPr>
        <w:ind w:hanging="360" w:left="720" w:right="720"/>
        <w:jc w:val="both"/>
        <w:rPr>
          <w:rFonts w:ascii="Verdana" w:hAnsi="Verdana" w:cs="Verdana"/>
          <w:color w:val="002060"/>
          <w:sz w:val="20"/>
          <w:szCs w:val="20"/>
        </w:rPr>
      </w:pPr>
      <w:r>
        <w:rPr>
          <w:rFonts w:cs="Verdana" w:ascii="Verdana" w:hAnsi="Verdana"/>
          <w:color w:val="002060"/>
          <w:sz w:val="20"/>
          <w:szCs w:val="20"/>
        </w:rPr>
        <w:t>Technically good in Performance Tuning and generating complex Reports in Oracle Reports 10G, XML Publisher, BI Reports and SQL*Loader</w:t>
      </w:r>
    </w:p>
    <w:p>
      <w:pPr>
        <w:pStyle w:val="Normal"/>
        <w:numPr>
          <w:ilvl w:val="0"/>
          <w:numId w:val="2"/>
        </w:numPr>
        <w:ind w:hanging="360" w:left="720" w:right="720"/>
        <w:jc w:val="both"/>
        <w:rPr>
          <w:rFonts w:ascii="Verdana" w:hAnsi="Verdana" w:cs="Verdana"/>
          <w:color w:val="002060"/>
          <w:sz w:val="20"/>
          <w:szCs w:val="20"/>
        </w:rPr>
      </w:pPr>
      <w:r>
        <w:rPr>
          <w:rFonts w:cs="Verdana" w:ascii="Verdana" w:hAnsi="Verdana"/>
          <w:color w:val="002060"/>
          <w:sz w:val="20"/>
          <w:szCs w:val="20"/>
        </w:rPr>
        <w:t xml:space="preserve">Hands on Customization of OAF Pages &amp; different Oracle reports.  </w:t>
      </w:r>
    </w:p>
    <w:p>
      <w:pPr>
        <w:pStyle w:val="Normal"/>
        <w:numPr>
          <w:ilvl w:val="0"/>
          <w:numId w:val="2"/>
        </w:numPr>
        <w:ind w:hanging="360" w:left="720" w:right="720"/>
        <w:jc w:val="both"/>
        <w:rPr>
          <w:rFonts w:ascii="Verdana" w:hAnsi="Verdana" w:cs="Verdana"/>
          <w:b/>
          <w:color w:val="002060"/>
          <w:sz w:val="20"/>
          <w:szCs w:val="20"/>
        </w:rPr>
      </w:pPr>
      <w:r>
        <w:rPr>
          <w:rFonts w:cs="Verdana" w:ascii="Verdana" w:hAnsi="Verdana"/>
          <w:color w:val="002060"/>
          <w:sz w:val="20"/>
          <w:szCs w:val="20"/>
        </w:rPr>
        <w:t>Expertise in AIM-Methodology and Good Exposure to Agile-Methodology and version controls tools</w:t>
      </w:r>
    </w:p>
    <w:p>
      <w:pPr>
        <w:pStyle w:val="Normal"/>
        <w:numPr>
          <w:ilvl w:val="0"/>
          <w:numId w:val="2"/>
        </w:numPr>
        <w:ind w:hanging="360" w:left="720" w:right="720"/>
        <w:jc w:val="both"/>
        <w:rPr>
          <w:rFonts w:ascii="Verdana" w:hAnsi="Verdana" w:cs="Verdana"/>
          <w:color w:val="002060"/>
          <w:sz w:val="20"/>
          <w:szCs w:val="20"/>
        </w:rPr>
      </w:pPr>
      <w:r>
        <w:rPr>
          <w:rFonts w:cs="Verdana" w:ascii="Verdana" w:hAnsi="Verdana"/>
          <w:color w:val="002060"/>
          <w:sz w:val="20"/>
          <w:szCs w:val="20"/>
        </w:rPr>
        <w:t>Quick Learner with good analytical and logical reasoning skills in addition to effective inter-personal skills.</w:t>
      </w:r>
    </w:p>
    <w:p>
      <w:pPr>
        <w:pStyle w:val="Normal"/>
        <w:jc w:val="both"/>
        <w:rPr>
          <w:rFonts w:ascii="Verdana" w:hAnsi="Verdana" w:cs="Verdana"/>
          <w:b/>
          <w:color w:val="BF0000"/>
          <w:sz w:val="22"/>
          <w:szCs w:val="22"/>
          <w:u w:val="single"/>
        </w:rPr>
      </w:pPr>
      <w:r>
        <w:rPr>
          <w:rFonts w:cs="Verdana" w:ascii="Verdana" w:hAnsi="Verdana"/>
          <w:b/>
          <w:color w:val="BF0000"/>
          <w:sz w:val="22"/>
          <w:szCs w:val="22"/>
          <w:u w:val="single"/>
        </w:rPr>
      </w:r>
    </w:p>
    <w:p>
      <w:pPr>
        <w:pStyle w:val="Normal"/>
        <w:jc w:val="both"/>
        <w:rPr>
          <w:rFonts w:ascii="Verdana" w:hAnsi="Verdana" w:cs="Verdana"/>
          <w:b/>
          <w:color w:val="BF0000"/>
          <w:sz w:val="22"/>
          <w:szCs w:val="22"/>
          <w:u w:val="single"/>
        </w:rPr>
      </w:pPr>
      <w:r>
        <w:rPr>
          <w:rFonts w:cs="Verdana" w:ascii="Verdana" w:hAnsi="Verdana"/>
          <w:b/>
          <w:color w:val="BF0000"/>
          <w:sz w:val="22"/>
          <w:szCs w:val="22"/>
          <w:u w:val="single"/>
        </w:rPr>
        <w:t>Achievements:</w:t>
      </w:r>
    </w:p>
    <w:p>
      <w:pPr>
        <w:pStyle w:val="Normal"/>
        <w:ind w:left="720" w:right="0"/>
        <w:jc w:val="both"/>
        <w:rPr>
          <w:rFonts w:ascii="Verdana" w:hAnsi="Verdana" w:cs="Verdana"/>
          <w:b/>
          <w:color w:val="BF0000"/>
          <w:sz w:val="22"/>
          <w:szCs w:val="22"/>
          <w:u w:val="single"/>
        </w:rPr>
      </w:pPr>
      <w:r>
        <w:rPr>
          <w:rFonts w:cs="Verdana" w:ascii="Verdana" w:hAnsi="Verdana"/>
          <w:b/>
          <w:color w:val="BF0000"/>
          <w:sz w:val="22"/>
          <w:szCs w:val="22"/>
          <w:u w:val="single"/>
        </w:rPr>
      </w:r>
    </w:p>
    <w:p>
      <w:pPr>
        <w:pStyle w:val="Normal"/>
        <w:numPr>
          <w:ilvl w:val="0"/>
          <w:numId w:val="4"/>
        </w:numPr>
        <w:jc w:val="both"/>
        <w:rPr>
          <w:rFonts w:ascii="Verdana" w:hAnsi="Verdana" w:cs="Verdana"/>
          <w:color w:val="002060"/>
          <w:sz w:val="20"/>
          <w:szCs w:val="20"/>
        </w:rPr>
      </w:pPr>
      <w:r>
        <w:rPr>
          <w:rFonts w:cs="Verdana" w:ascii="Verdana" w:hAnsi="Verdana"/>
          <w:color w:val="002060"/>
          <w:sz w:val="20"/>
          <w:szCs w:val="20"/>
        </w:rPr>
        <w:t xml:space="preserve">Transformation of businesses from legacy system to Oracle Integrated ERP Systems </w:t>
      </w:r>
    </w:p>
    <w:p>
      <w:pPr>
        <w:pStyle w:val="Normal"/>
        <w:numPr>
          <w:ilvl w:val="0"/>
          <w:numId w:val="4"/>
        </w:numPr>
        <w:jc w:val="both"/>
        <w:rPr>
          <w:rFonts w:ascii="Verdana" w:hAnsi="Verdana" w:cs="Verdana"/>
          <w:color w:val="002060"/>
          <w:sz w:val="20"/>
          <w:szCs w:val="20"/>
        </w:rPr>
      </w:pPr>
      <w:r>
        <w:rPr>
          <w:rFonts w:cs="Verdana" w:ascii="Verdana" w:hAnsi="Verdana"/>
          <w:color w:val="002060"/>
          <w:sz w:val="20"/>
          <w:szCs w:val="20"/>
        </w:rPr>
        <w:t>Cross product knowledge transition.</w:t>
      </w:r>
    </w:p>
    <w:p>
      <w:pPr>
        <w:pStyle w:val="Normal"/>
        <w:numPr>
          <w:ilvl w:val="0"/>
          <w:numId w:val="4"/>
        </w:numPr>
        <w:jc w:val="both"/>
        <w:rPr>
          <w:rFonts w:ascii="Verdana" w:hAnsi="Verdana" w:cs="Verdana"/>
          <w:color w:val="002060"/>
          <w:sz w:val="20"/>
          <w:szCs w:val="20"/>
        </w:rPr>
      </w:pPr>
      <w:r>
        <w:rPr>
          <w:rFonts w:cs="Verdana" w:ascii="Verdana" w:hAnsi="Verdana"/>
          <w:color w:val="002060"/>
          <w:sz w:val="20"/>
          <w:szCs w:val="20"/>
        </w:rPr>
        <w:t>Delivered best possible solution for the custom components as per SLA and earned appreciations.</w:t>
      </w:r>
    </w:p>
    <w:p>
      <w:pPr>
        <w:pStyle w:val="Normal"/>
        <w:numPr>
          <w:ilvl w:val="0"/>
          <w:numId w:val="4"/>
        </w:numPr>
        <w:jc w:val="both"/>
        <w:rPr>
          <w:rFonts w:ascii="Verdana" w:hAnsi="Verdana" w:cs="Verdana"/>
          <w:color w:val="002060"/>
          <w:sz w:val="20"/>
          <w:szCs w:val="20"/>
        </w:rPr>
      </w:pPr>
      <w:r>
        <w:rPr>
          <w:rFonts w:cs="Verdana" w:ascii="Verdana" w:hAnsi="Verdana"/>
          <w:color w:val="002060"/>
          <w:sz w:val="20"/>
          <w:szCs w:val="20"/>
        </w:rPr>
        <w:t>Cross Team/ peer to peer knowledge sharing about handling complexities in upgrade of Oracle applications from 11i to R12.</w:t>
      </w:r>
    </w:p>
    <w:p>
      <w:pPr>
        <w:pStyle w:val="Normal"/>
        <w:jc w:val="both"/>
        <w:rPr>
          <w:rFonts w:ascii="Verdana" w:hAnsi="Verdana" w:cs="Verdana"/>
          <w:b/>
          <w:color w:val="BF0000"/>
          <w:sz w:val="22"/>
          <w:szCs w:val="22"/>
          <w:u w:val="single"/>
        </w:rPr>
      </w:pPr>
      <w:r>
        <w:rPr>
          <w:rFonts w:cs="Verdana" w:ascii="Verdana" w:hAnsi="Verdana"/>
          <w:b/>
          <w:color w:val="BF0000"/>
          <w:sz w:val="22"/>
          <w:szCs w:val="22"/>
          <w:u w:val="single"/>
        </w:rPr>
      </w:r>
    </w:p>
    <w:p>
      <w:pPr>
        <w:pStyle w:val="Normal"/>
        <w:jc w:val="both"/>
        <w:rPr>
          <w:rFonts w:ascii="Verdana" w:hAnsi="Verdana" w:cs="Verdana"/>
          <w:b/>
          <w:color w:val="808080"/>
          <w:sz w:val="28"/>
          <w:szCs w:val="28"/>
          <w:u w:val="single"/>
        </w:rPr>
      </w:pPr>
      <w:r>
        <w:rPr>
          <w:rFonts w:cs="Verdana" w:ascii="Verdana" w:hAnsi="Verdana"/>
          <w:b/>
          <w:color w:val="BF0000"/>
          <w:sz w:val="22"/>
          <w:szCs w:val="22"/>
          <w:u w:val="single"/>
        </w:rPr>
        <w:t>Professional Experience</w:t>
      </w:r>
      <w:r>
        <w:rPr>
          <w:rFonts w:cs="Verdana" w:ascii="Verdana" w:hAnsi="Verdana"/>
          <w:color w:val="BF0000"/>
          <w:sz w:val="22"/>
          <w:szCs w:val="22"/>
        </w:rPr>
        <w:t>:</w:t>
      </w:r>
    </w:p>
    <w:p>
      <w:pPr>
        <w:pStyle w:val="Normal"/>
        <w:jc w:val="both"/>
        <w:rPr>
          <w:rFonts w:ascii="Verdana" w:hAnsi="Verdana" w:cs="Verdana"/>
          <w:b/>
          <w:color w:val="808080"/>
          <w:sz w:val="28"/>
          <w:szCs w:val="28"/>
          <w:u w:val="single"/>
        </w:rPr>
      </w:pPr>
      <w:r>
        <w:rPr>
          <w:rFonts w:cs="Verdana" w:ascii="Verdana" w:hAnsi="Verdana"/>
          <w:b/>
          <w:color w:val="808080"/>
          <w:sz w:val="28"/>
          <w:szCs w:val="28"/>
          <w:u w:val="single"/>
        </w:rPr>
      </w:r>
    </w:p>
    <w:tbl>
      <w:tblPr>
        <w:tblW w:w="10606" w:type="dxa"/>
        <w:jc w:val="center"/>
        <w:tblInd w:w="0" w:type="dxa"/>
        <w:tblLayout w:type="fixed"/>
        <w:tblCellMar>
          <w:top w:w="0" w:type="dxa"/>
          <w:left w:w="72" w:type="dxa"/>
          <w:bottom w:w="0" w:type="dxa"/>
          <w:right w:w="72" w:type="dxa"/>
        </w:tblCellMar>
      </w:tblPr>
      <w:tblGrid>
        <w:gridCol w:w="3505"/>
        <w:gridCol w:w="4752"/>
        <w:gridCol w:w="2349"/>
      </w:tblGrid>
      <w:tr>
        <w:trPr/>
        <w:tc>
          <w:tcPr>
            <w:tcW w:w="3505" w:type="dxa"/>
            <w:tcBorders>
              <w:top w:val="single" w:sz="4" w:space="0" w:color="000000"/>
              <w:left w:val="single" w:sz="4" w:space="0" w:color="000000"/>
              <w:bottom w:val="single" w:sz="4" w:space="0" w:color="000000"/>
              <w:right w:val="single" w:sz="4" w:space="0" w:color="000000"/>
            </w:tcBorders>
            <w:shd w:fill="BFBFBF" w:val="clear"/>
          </w:tcPr>
          <w:p>
            <w:pPr>
              <w:pStyle w:val="Normal"/>
              <w:spacing w:lineRule="atLeast" w:line="320"/>
              <w:jc w:val="center"/>
              <w:rPr>
                <w:rFonts w:ascii="Verdana" w:hAnsi="Verdana" w:cs="Verdana"/>
                <w:color w:val="002060"/>
                <w:sz w:val="20"/>
                <w:szCs w:val="20"/>
              </w:rPr>
            </w:pPr>
            <w:r>
              <w:rPr>
                <w:rFonts w:cs="Verdana" w:ascii="Verdana" w:hAnsi="Verdana"/>
                <w:b/>
                <w:bCs/>
                <w:color w:val="002060"/>
                <w:sz w:val="20"/>
                <w:szCs w:val="20"/>
              </w:rPr>
              <w:t>Organization</w:t>
            </w:r>
          </w:p>
        </w:tc>
        <w:tc>
          <w:tcPr>
            <w:tcW w:w="4752"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jc w:val="center"/>
              <w:rPr>
                <w:rFonts w:ascii="Verdana" w:hAnsi="Verdana" w:cs="Verdana"/>
                <w:color w:val="002060"/>
                <w:sz w:val="20"/>
                <w:szCs w:val="20"/>
              </w:rPr>
            </w:pPr>
            <w:r>
              <w:rPr>
                <w:rFonts w:cs="Verdana" w:ascii="Verdana" w:hAnsi="Verdana"/>
                <w:b/>
                <w:bCs/>
                <w:color w:val="002060"/>
                <w:sz w:val="20"/>
                <w:szCs w:val="20"/>
              </w:rPr>
              <w:t>Role/Designation</w:t>
            </w:r>
          </w:p>
        </w:tc>
        <w:tc>
          <w:tcPr>
            <w:tcW w:w="2349" w:type="dxa"/>
            <w:tcBorders>
              <w:top w:val="single" w:sz="4" w:space="0" w:color="000000"/>
              <w:left w:val="single" w:sz="4" w:space="0" w:color="000000"/>
              <w:bottom w:val="single" w:sz="4" w:space="0" w:color="000000"/>
              <w:right w:val="single" w:sz="4" w:space="0" w:color="000000"/>
            </w:tcBorders>
            <w:shd w:fill="C0C0C0" w:val="clear"/>
          </w:tcPr>
          <w:p>
            <w:pPr>
              <w:pStyle w:val="Normal"/>
              <w:tabs>
                <w:tab w:val="clear" w:pos="720"/>
                <w:tab w:val="center" w:pos="1739" w:leader="none"/>
                <w:tab w:val="right" w:pos="3479" w:leader="none"/>
              </w:tabs>
              <w:spacing w:lineRule="atLeast" w:line="320"/>
              <w:jc w:val="center"/>
              <w:rPr>
                <w:rFonts w:ascii="Verdana" w:hAnsi="Verdana" w:cs="Verdana"/>
                <w:color w:val="002060"/>
                <w:sz w:val="20"/>
                <w:szCs w:val="20"/>
              </w:rPr>
            </w:pPr>
            <w:r>
              <w:rPr>
                <w:rFonts w:cs="Verdana" w:ascii="Verdana" w:hAnsi="Verdana"/>
                <w:b/>
                <w:bCs/>
                <w:color w:val="002060"/>
                <w:sz w:val="20"/>
                <w:szCs w:val="20"/>
              </w:rPr>
              <w:t>Duration (in Years)</w:t>
            </w:r>
          </w:p>
        </w:tc>
      </w:tr>
      <w:tr>
        <w:trPr>
          <w:trHeight w:val="305" w:hRule="atLeast"/>
        </w:trPr>
        <w:tc>
          <w:tcPr>
            <w:tcW w:w="3505"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Verdana" w:hAnsi="Verdana" w:cs="Verdana"/>
                <w:color w:val="002060"/>
                <w:sz w:val="20"/>
                <w:szCs w:val="20"/>
              </w:rPr>
            </w:pPr>
            <w:r>
              <w:rPr>
                <w:rFonts w:cs="Verdana" w:ascii="Verdana" w:hAnsi="Verdana"/>
                <w:color w:val="002060"/>
                <w:sz w:val="20"/>
                <w:szCs w:val="20"/>
              </w:rPr>
              <w:t>Enrich IT/Data Intensity</w:t>
            </w:r>
          </w:p>
        </w:tc>
        <w:tc>
          <w:tcPr>
            <w:tcW w:w="4752"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Verdana" w:hAnsi="Verdana" w:cs="Verdana"/>
                <w:bCs/>
                <w:color w:val="1F497D"/>
                <w:sz w:val="20"/>
                <w:szCs w:val="20"/>
              </w:rPr>
            </w:pPr>
            <w:r>
              <w:rPr>
                <w:rFonts w:cs="Verdana" w:ascii="Verdana" w:hAnsi="Verdana"/>
                <w:bCs/>
                <w:color w:val="1F497D"/>
                <w:sz w:val="20"/>
                <w:szCs w:val="20"/>
              </w:rPr>
              <w:t>Oracle EBS Technical Consultant</w:t>
            </w:r>
          </w:p>
        </w:tc>
        <w:tc>
          <w:tcPr>
            <w:tcW w:w="234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August 2017 Till Date</w:t>
            </w:r>
          </w:p>
        </w:tc>
      </w:tr>
    </w:tbl>
    <w:p>
      <w:pPr>
        <w:pStyle w:val="Normal"/>
        <w:jc w:val="both"/>
        <w:rPr>
          <w:rFonts w:ascii="Verdana" w:hAnsi="Verdana" w:cs="Verdana"/>
          <w:b/>
          <w:color w:val="BF0000"/>
          <w:sz w:val="22"/>
          <w:szCs w:val="22"/>
          <w:u w:val="single"/>
        </w:rPr>
      </w:pPr>
      <w:r>
        <w:rPr>
          <w:rFonts w:cs="Verdana" w:ascii="Verdana" w:hAnsi="Verdana"/>
          <w:b/>
          <w:color w:val="BF0000"/>
          <w:sz w:val="22"/>
          <w:szCs w:val="22"/>
          <w:u w:val="single"/>
        </w:rPr>
      </w:r>
    </w:p>
    <w:p>
      <w:pPr>
        <w:pStyle w:val="Normal"/>
        <w:jc w:val="both"/>
        <w:rPr>
          <w:rFonts w:ascii="Verdana" w:hAnsi="Verdana" w:cs="Verdana"/>
          <w:b/>
          <w:color w:val="BF0000"/>
          <w:sz w:val="22"/>
          <w:szCs w:val="22"/>
        </w:rPr>
      </w:pPr>
      <w:r>
        <w:rPr>
          <w:rFonts w:cs="Verdana" w:ascii="Verdana" w:hAnsi="Verdana"/>
          <w:b/>
          <w:color w:val="BF0000"/>
          <w:sz w:val="22"/>
          <w:szCs w:val="22"/>
          <w:u w:val="single"/>
        </w:rPr>
        <w:t>Technical Skills</w:t>
      </w:r>
      <w:r>
        <w:rPr>
          <w:rFonts w:cs="Verdana" w:ascii="Verdana" w:hAnsi="Verdana"/>
          <w:b/>
          <w:color w:val="BF0000"/>
          <w:sz w:val="22"/>
          <w:szCs w:val="22"/>
        </w:rPr>
        <w:t>:</w:t>
      </w:r>
    </w:p>
    <w:p>
      <w:pPr>
        <w:pStyle w:val="Normal"/>
        <w:jc w:val="both"/>
        <w:rPr>
          <w:rFonts w:ascii="Verdana" w:hAnsi="Verdana" w:cs="Verdana"/>
          <w:b/>
          <w:color w:val="808080"/>
          <w:sz w:val="22"/>
          <w:szCs w:val="22"/>
        </w:rPr>
      </w:pPr>
      <w:r>
        <w:rPr>
          <w:rFonts w:cs="Verdana" w:ascii="Verdana" w:hAnsi="Verdana"/>
          <w:b/>
          <w:color w:val="808080"/>
          <w:sz w:val="22"/>
          <w:szCs w:val="22"/>
        </w:rPr>
      </w:r>
    </w:p>
    <w:tbl>
      <w:tblPr>
        <w:tblW w:w="10566" w:type="dxa"/>
        <w:jc w:val="left"/>
        <w:tblInd w:w="-18" w:type="dxa"/>
        <w:tblLayout w:type="fixed"/>
        <w:tblCellMar>
          <w:top w:w="0" w:type="dxa"/>
          <w:left w:w="72" w:type="dxa"/>
          <w:bottom w:w="0" w:type="dxa"/>
          <w:right w:w="72" w:type="dxa"/>
        </w:tblCellMar>
      </w:tblPr>
      <w:tblGrid>
        <w:gridCol w:w="2520"/>
        <w:gridCol w:w="8046"/>
      </w:tblGrid>
      <w:tr>
        <w:trPr>
          <w:trHeight w:val="65" w:hRule="atLeast"/>
        </w:trPr>
        <w:tc>
          <w:tcPr>
            <w:tcW w:w="25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rFonts w:ascii="Verdana" w:hAnsi="Verdana" w:cs="Verdana"/>
                <w:color w:val="002060"/>
                <w:sz w:val="20"/>
                <w:szCs w:val="20"/>
              </w:rPr>
            </w:pPr>
            <w:r>
              <w:rPr>
                <w:rFonts w:cs="Verdana" w:ascii="Verdana" w:hAnsi="Verdana"/>
                <w:color w:val="002060"/>
                <w:sz w:val="20"/>
                <w:szCs w:val="20"/>
              </w:rPr>
              <w:t>Oracle ERP Applications</w:t>
            </w:r>
          </w:p>
        </w:tc>
        <w:tc>
          <w:tcPr>
            <w:tcW w:w="8046" w:type="dxa"/>
            <w:tcBorders>
              <w:top w:val="single" w:sz="4" w:space="0" w:color="000000"/>
              <w:left w:val="single" w:sz="4" w:space="0" w:color="000000"/>
              <w:bottom w:val="single" w:sz="4" w:space="0" w:color="000000"/>
              <w:right w:val="single" w:sz="4" w:space="0" w:color="000000"/>
            </w:tcBorders>
            <w:shd w:fill="FFFFFF" w:val="clear"/>
          </w:tcPr>
          <w:p>
            <w:pPr>
              <w:pStyle w:val="Normal"/>
              <w:jc w:val="both"/>
              <w:rPr>
                <w:rFonts w:ascii="Verdana" w:hAnsi="Verdana" w:cs="Arial"/>
                <w:color w:val="002060"/>
                <w:sz w:val="20"/>
                <w:szCs w:val="20"/>
              </w:rPr>
            </w:pPr>
            <w:r>
              <w:rPr>
                <w:rFonts w:cs="Verdana" w:ascii="Verdana" w:hAnsi="Verdana"/>
                <w:color w:val="002060"/>
                <w:sz w:val="20"/>
                <w:szCs w:val="20"/>
              </w:rPr>
              <w:t xml:space="preserve">Inventory, Accounts Receivables, Accounts Payable, Order Management Applications </w:t>
            </w:r>
          </w:p>
        </w:tc>
      </w:tr>
      <w:tr>
        <w:trPr>
          <w:trHeight w:val="65" w:hRule="atLeast"/>
        </w:trPr>
        <w:tc>
          <w:tcPr>
            <w:tcW w:w="25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rFonts w:ascii="Verdana" w:hAnsi="Verdana" w:cs="Verdana"/>
                <w:color w:val="002060"/>
                <w:sz w:val="20"/>
                <w:szCs w:val="20"/>
              </w:rPr>
            </w:pPr>
            <w:r>
              <w:rPr>
                <w:rFonts w:cs="Verdana" w:ascii="Verdana" w:hAnsi="Verdana"/>
                <w:color w:val="002060"/>
                <w:sz w:val="20"/>
                <w:szCs w:val="20"/>
              </w:rPr>
              <w:t>Oracle Applications</w:t>
            </w:r>
          </w:p>
        </w:tc>
        <w:tc>
          <w:tcPr>
            <w:tcW w:w="8046" w:type="dxa"/>
            <w:tcBorders>
              <w:top w:val="single" w:sz="4" w:space="0" w:color="000000"/>
              <w:left w:val="single" w:sz="4" w:space="0" w:color="000000"/>
              <w:bottom w:val="single" w:sz="4" w:space="0" w:color="000000"/>
              <w:right w:val="single" w:sz="4" w:space="0" w:color="000000"/>
            </w:tcBorders>
            <w:shd w:fill="FFFFFF" w:val="clear"/>
          </w:tcPr>
          <w:p>
            <w:pPr>
              <w:pStyle w:val="Normal"/>
              <w:jc w:val="both"/>
              <w:rPr>
                <w:rFonts w:ascii="Verdana" w:hAnsi="Verdana" w:cs="Arial"/>
                <w:color w:val="002060"/>
                <w:sz w:val="20"/>
                <w:szCs w:val="20"/>
              </w:rPr>
            </w:pPr>
            <w:r>
              <w:rPr>
                <w:rFonts w:cs="Verdana" w:ascii="Verdana" w:hAnsi="Verdana"/>
                <w:color w:val="002060"/>
                <w:sz w:val="20"/>
                <w:szCs w:val="20"/>
              </w:rPr>
              <w:t xml:space="preserve">Oracle EBS 11i &amp; R12 SCM/ MFG Applications </w:t>
            </w:r>
          </w:p>
        </w:tc>
      </w:tr>
      <w:tr>
        <w:trPr>
          <w:trHeight w:val="167" w:hRule="atLeast"/>
        </w:trPr>
        <w:tc>
          <w:tcPr>
            <w:tcW w:w="2520" w:type="dxa"/>
            <w:tcBorders>
              <w:top w:val="single" w:sz="4" w:space="0" w:color="000000"/>
              <w:left w:val="single" w:sz="4" w:space="0" w:color="000000"/>
              <w:bottom w:val="single" w:sz="4" w:space="0" w:color="000000"/>
              <w:right w:val="single" w:sz="4" w:space="0" w:color="000000"/>
            </w:tcBorders>
            <w:shd w:fill="FFFFFF" w:val="clear"/>
          </w:tcPr>
          <w:p>
            <w:pPr>
              <w:pStyle w:val="Header"/>
              <w:numPr>
                <w:ilvl w:val="0"/>
                <w:numId w:val="0"/>
              </w:numPr>
              <w:tabs>
                <w:tab w:val="clear" w:pos="4320"/>
                <w:tab w:val="clear" w:pos="8640"/>
              </w:tabs>
              <w:ind w:hanging="0" w:left="0"/>
              <w:rPr>
                <w:rFonts w:ascii="Verdana" w:hAnsi="Verdana" w:cs="Arial"/>
                <w:b/>
                <w:color w:val="002060"/>
                <w:lang w:val="fr-FR"/>
              </w:rPr>
            </w:pPr>
            <w:bookmarkStart w:id="4" w:name="OLE_LINK5"/>
            <w:r>
              <w:rPr>
                <w:rFonts w:cs="Verdana" w:ascii="Verdana" w:hAnsi="Verdana"/>
                <w:color w:val="002060"/>
              </w:rPr>
              <w:t xml:space="preserve">Tools/Utilities                   </w:t>
            </w:r>
            <w:bookmarkEnd w:id="4"/>
          </w:p>
        </w:tc>
        <w:tc>
          <w:tcPr>
            <w:tcW w:w="804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rFonts w:ascii="Verdana" w:hAnsi="Verdana" w:cs="Verdana"/>
                <w:color w:val="002060"/>
                <w:sz w:val="20"/>
                <w:szCs w:val="20"/>
              </w:rPr>
            </w:pPr>
            <w:r>
              <w:rPr>
                <w:rFonts w:cs="Verdana" w:ascii="Verdana" w:hAnsi="Verdana"/>
                <w:color w:val="002060"/>
                <w:sz w:val="20"/>
                <w:szCs w:val="20"/>
              </w:rPr>
              <w:t>JDeveloper, BI Publisher, Oracle SQL Developer, FNDLOAD, Oracle Reports.</w:t>
            </w:r>
          </w:p>
        </w:tc>
      </w:tr>
      <w:tr>
        <w:trPr>
          <w:trHeight w:val="167" w:hRule="atLeast"/>
        </w:trPr>
        <w:tc>
          <w:tcPr>
            <w:tcW w:w="25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rFonts w:ascii="Verdana" w:hAnsi="Verdana" w:cs="Verdana"/>
                <w:b/>
                <w:color w:val="002060"/>
                <w:sz w:val="20"/>
                <w:szCs w:val="20"/>
              </w:rPr>
            </w:pPr>
            <w:r>
              <w:rPr>
                <w:rFonts w:cs="Verdana" w:ascii="Verdana" w:hAnsi="Verdana"/>
                <w:color w:val="002060"/>
                <w:sz w:val="20"/>
                <w:szCs w:val="20"/>
              </w:rPr>
              <w:t>Languages</w:t>
            </w:r>
          </w:p>
        </w:tc>
        <w:tc>
          <w:tcPr>
            <w:tcW w:w="804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ind w:right="72"/>
              <w:jc w:val="both"/>
              <w:rPr>
                <w:rFonts w:ascii="Verdana" w:hAnsi="Verdana" w:cs="Verdana"/>
                <w:color w:val="002060"/>
                <w:sz w:val="20"/>
                <w:szCs w:val="20"/>
              </w:rPr>
            </w:pPr>
            <w:r>
              <w:rPr>
                <w:rFonts w:cs="Verdana" w:ascii="Verdana" w:hAnsi="Verdana"/>
                <w:color w:val="002060"/>
                <w:sz w:val="20"/>
                <w:szCs w:val="20"/>
              </w:rPr>
              <w:t>Oracle SQL, PL/SQL, C and Java</w:t>
            </w:r>
          </w:p>
        </w:tc>
      </w:tr>
    </w:tbl>
    <w:p>
      <w:pPr>
        <w:pStyle w:val="Normal"/>
        <w:jc w:val="both"/>
        <w:rPr/>
      </w:pPr>
      <w:r>
        <w:rPr/>
      </w:r>
      <w:r>
        <w:br w:type="page"/>
      </w:r>
    </w:p>
    <w:p>
      <w:pPr>
        <w:pStyle w:val="Normal"/>
        <w:jc w:val="both"/>
        <w:rPr>
          <w:rFonts w:ascii="Verdana" w:hAnsi="Verdana" w:cs="Verdana"/>
          <w:b/>
          <w:color w:val="BF0000"/>
          <w:sz w:val="22"/>
          <w:szCs w:val="22"/>
          <w:u w:val="single"/>
        </w:rPr>
      </w:pPr>
      <w:r>
        <w:rPr>
          <w:rFonts w:eastAsia="Verdana" w:cs="Verdana" w:ascii="Verdana" w:hAnsi="Verdana"/>
          <w:b/>
          <w:color w:val="BF0000"/>
          <w:sz w:val="22"/>
          <w:szCs w:val="22"/>
          <w:u w:val="single"/>
        </w:rPr>
        <w:t xml:space="preserve"> </w:t>
      </w:r>
    </w:p>
    <w:p>
      <w:pPr>
        <w:pStyle w:val="Normal"/>
        <w:jc w:val="both"/>
        <w:rPr>
          <w:rFonts w:ascii="Verdana" w:hAnsi="Verdana" w:cs="Verdana"/>
          <w:b/>
          <w:color w:val="BF0000"/>
          <w:sz w:val="22"/>
          <w:szCs w:val="22"/>
        </w:rPr>
      </w:pPr>
      <w:r>
        <w:rPr>
          <w:rFonts w:cs="Verdana" w:ascii="Verdana" w:hAnsi="Verdana"/>
          <w:b/>
          <w:color w:val="BF0000"/>
          <w:sz w:val="22"/>
          <w:szCs w:val="22"/>
          <w:u w:val="single"/>
        </w:rPr>
        <w:t>Oracle Projects Profiles</w:t>
      </w:r>
      <w:r>
        <w:rPr>
          <w:rFonts w:cs="Verdana" w:ascii="Verdana" w:hAnsi="Verdana"/>
          <w:b/>
          <w:color w:val="BF0000"/>
          <w:sz w:val="22"/>
          <w:szCs w:val="22"/>
        </w:rPr>
        <w:t>:</w:t>
      </w:r>
    </w:p>
    <w:p>
      <w:pPr>
        <w:pStyle w:val="Normal"/>
        <w:jc w:val="both"/>
        <w:rPr>
          <w:rFonts w:ascii="Verdana" w:hAnsi="Verdana" w:cs="Verdana"/>
          <w:b/>
          <w:color w:val="BF0000"/>
          <w:sz w:val="22"/>
          <w:szCs w:val="22"/>
        </w:rPr>
      </w:pPr>
      <w:r>
        <w:rPr>
          <w:rFonts w:cs="Verdana" w:ascii="Verdana" w:hAnsi="Verdana"/>
          <w:b/>
          <w:color w:val="BF0000"/>
          <w:sz w:val="22"/>
          <w:szCs w:val="22"/>
        </w:rPr>
      </w:r>
    </w:p>
    <w:p>
      <w:pPr>
        <w:pStyle w:val="Normal"/>
        <w:jc w:val="both"/>
        <w:rPr>
          <w:rFonts w:ascii="Verdana" w:hAnsi="Verdana" w:cs="Verdana"/>
          <w:b/>
          <w:color w:val="BF0000"/>
          <w:sz w:val="22"/>
          <w:szCs w:val="22"/>
          <w:u w:val="single"/>
        </w:rPr>
      </w:pPr>
      <w:r>
        <w:rPr>
          <w:rFonts w:cs="Verdana" w:ascii="Verdana" w:hAnsi="Verdana"/>
          <w:b/>
          <w:color w:val="BF0000"/>
          <w:sz w:val="22"/>
          <w:szCs w:val="22"/>
          <w:u w:val="single"/>
        </w:rPr>
      </w:r>
    </w:p>
    <w:tbl>
      <w:tblPr>
        <w:tblpPr w:vertAnchor="text" w:horzAnchor="margin" w:rightFromText="180" w:tblpX="5" w:tblpY="41"/>
        <w:tblW w:w="10525" w:type="dxa"/>
        <w:jc w:val="left"/>
        <w:tblInd w:w="72" w:type="dxa"/>
        <w:tblLayout w:type="fixed"/>
        <w:tblCellMar>
          <w:top w:w="0" w:type="dxa"/>
          <w:left w:w="72" w:type="dxa"/>
          <w:bottom w:w="0" w:type="dxa"/>
          <w:right w:w="72" w:type="dxa"/>
        </w:tblCellMar>
      </w:tblPr>
      <w:tblGrid>
        <w:gridCol w:w="1915"/>
        <w:gridCol w:w="8610"/>
      </w:tblGrid>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2"/>
                <w:szCs w:val="22"/>
              </w:rPr>
            </w:pPr>
            <w:r>
              <w:rPr>
                <w:rFonts w:cs="Verdana" w:ascii="Verdana" w:hAnsi="Verdana"/>
                <w:b/>
                <w:color w:val="002060"/>
                <w:sz w:val="22"/>
                <w:szCs w:val="22"/>
              </w:rPr>
              <w:t>Project #3</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b/>
                <w:color w:val="002060"/>
                <w:sz w:val="22"/>
                <w:szCs w:val="22"/>
              </w:rPr>
            </w:pPr>
            <w:r>
              <w:rPr>
                <w:b/>
                <w:color w:val="000000"/>
              </w:rPr>
              <w:t xml:space="preserve">ARROW-XL </w:t>
            </w:r>
            <w:r>
              <w:rPr>
                <w:rFonts w:cs="Verdana" w:ascii="Verdana" w:hAnsi="Verdana"/>
                <w:b/>
                <w:color w:val="002060"/>
                <w:sz w:val="22"/>
                <w:szCs w:val="22"/>
              </w:rPr>
              <w:t>– Oracle EBS 12.1.3</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Customer</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ARROW-XL, UK</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Period</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May’19 – till date</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Role</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Jr Developer</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Modules</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Verdana" w:hAnsi="Verdana" w:cs="Verdana"/>
                <w:color w:val="002060"/>
                <w:sz w:val="20"/>
                <w:szCs w:val="20"/>
              </w:rPr>
            </w:pPr>
            <w:r>
              <w:rPr>
                <w:rFonts w:cs="Verdana" w:ascii="Verdana" w:hAnsi="Verdana"/>
                <w:color w:val="002060"/>
                <w:sz w:val="20"/>
                <w:szCs w:val="20"/>
              </w:rPr>
              <w:t>Oracle Management</w:t>
            </w:r>
          </w:p>
        </w:tc>
      </w:tr>
      <w:tr>
        <w:trPr>
          <w:trHeight w:val="723" w:hRule="atLeast"/>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Description</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rPr>
                <w:rFonts w:ascii="Verdana" w:hAnsi="Verdana" w:cs="Verdana"/>
                <w:color w:val="002060"/>
                <w:sz w:val="20"/>
                <w:szCs w:val="20"/>
              </w:rPr>
            </w:pPr>
            <w:r>
              <w:rPr>
                <w:rFonts w:cs="Verdana" w:ascii="Verdana" w:hAnsi="Verdana"/>
                <w:color w:val="002060"/>
                <w:sz w:val="20"/>
                <w:szCs w:val="20"/>
              </w:rPr>
              <w:t>ArrowXL is a courier company which interacts with three different 3rd party systems for stock maintenance (warehouse system), planning of the delivery routes (Planning System) and HHT (a device used to update the delivery vehicle movement). The ordered courier details are maintained in oracle order management. Our HDNL (Fusion) will works as a middleware between all the 3rd party systems and update OM for every event happened against the order.</w:t>
            </w:r>
          </w:p>
          <w:p>
            <w:pPr>
              <w:pStyle w:val="Normal"/>
              <w:snapToGrid w:val="false"/>
              <w:rPr>
                <w:rFonts w:ascii="Verdana" w:hAnsi="Verdana" w:cs="Verdana"/>
                <w:color w:val="002060"/>
                <w:sz w:val="20"/>
                <w:szCs w:val="20"/>
              </w:rPr>
            </w:pPr>
            <w:r>
              <w:rPr>
                <w:rFonts w:cs="Verdana" w:ascii="Verdana" w:hAnsi="Verdana"/>
                <w:color w:val="002060"/>
                <w:sz w:val="20"/>
                <w:szCs w:val="20"/>
              </w:rPr>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Responsibilities</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Oracle Apps Technical Consultant for upgrade and support project.</w:t>
            </w:r>
          </w:p>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Worked in Oracle backend objects like:  Stored Procedures and Packages using PL/SQL.</w:t>
            </w:r>
          </w:p>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Developing Custom Programs</w:t>
            </w:r>
          </w:p>
          <w:p>
            <w:pPr>
              <w:pStyle w:val="NormalWeb"/>
              <w:widowControl w:val="false"/>
              <w:numPr>
                <w:ilvl w:val="0"/>
                <w:numId w:val="3"/>
              </w:numPr>
              <w:autoSpaceDE w:val="false"/>
              <w:spacing w:before="0" w:after="0"/>
              <w:ind w:hanging="270" w:left="410" w:right="0"/>
              <w:rPr>
                <w:rFonts w:ascii="Verdana" w:hAnsi="Verdana" w:cs="Verdana"/>
                <w:color w:val="002060"/>
                <w:sz w:val="20"/>
                <w:szCs w:val="20"/>
              </w:rPr>
            </w:pPr>
            <w:r>
              <w:rPr>
                <w:rFonts w:cs="Verdana" w:ascii="Verdana" w:hAnsi="Verdana"/>
                <w:color w:val="002060"/>
                <w:sz w:val="20"/>
                <w:szCs w:val="20"/>
              </w:rPr>
              <w:t>Processing the Flat files through BPEL process for creating new orders into the oracle applications and fixing the exception of the orders with the error information.</w:t>
            </w:r>
          </w:p>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Involved in the day to day activities of production support of Oracle applications environment in OM.</w:t>
            </w:r>
          </w:p>
        </w:tc>
      </w:tr>
    </w:tbl>
    <w:p>
      <w:pPr>
        <w:pStyle w:val="Normal"/>
        <w:jc w:val="both"/>
        <w:rPr>
          <w:rFonts w:ascii="Verdana" w:hAnsi="Verdana" w:cs="Verdana"/>
          <w:b/>
          <w:color w:val="BF0000"/>
          <w:sz w:val="22"/>
          <w:szCs w:val="22"/>
        </w:rPr>
      </w:pPr>
      <w:r>
        <w:rPr>
          <w:rFonts w:cs="Verdana" w:ascii="Verdana" w:hAnsi="Verdana"/>
          <w:b/>
          <w:color w:val="BF0000"/>
          <w:sz w:val="22"/>
          <w:szCs w:val="22"/>
        </w:rPr>
      </w:r>
    </w:p>
    <w:p>
      <w:pPr>
        <w:pStyle w:val="Normal"/>
        <w:jc w:val="both"/>
        <w:rPr>
          <w:rFonts w:ascii="Verdana" w:hAnsi="Verdana" w:cs="Verdana"/>
          <w:b/>
          <w:color w:val="BF0000"/>
          <w:sz w:val="22"/>
          <w:szCs w:val="22"/>
          <w:u w:val="single"/>
        </w:rPr>
      </w:pPr>
      <w:r>
        <w:rPr>
          <w:rFonts w:cs="Verdana" w:ascii="Verdana" w:hAnsi="Verdana"/>
          <w:b/>
          <w:color w:val="BF0000"/>
          <w:sz w:val="22"/>
          <w:szCs w:val="22"/>
          <w:u w:val="single"/>
        </w:rPr>
      </w:r>
    </w:p>
    <w:p>
      <w:pPr>
        <w:pStyle w:val="Normal"/>
        <w:jc w:val="both"/>
        <w:rPr>
          <w:rFonts w:ascii="Verdana" w:hAnsi="Verdana" w:cs="Verdana"/>
          <w:b/>
          <w:color w:val="BF0000"/>
          <w:sz w:val="22"/>
          <w:szCs w:val="22"/>
          <w:u w:val="single"/>
        </w:rPr>
      </w:pPr>
      <w:r>
        <w:rPr>
          <w:rFonts w:cs="Verdana" w:ascii="Verdana" w:hAnsi="Verdana"/>
          <w:b/>
          <w:color w:val="BF0000"/>
          <w:sz w:val="22"/>
          <w:szCs w:val="22"/>
          <w:u w:val="single"/>
        </w:rPr>
      </w:r>
    </w:p>
    <w:p>
      <w:pPr>
        <w:pStyle w:val="Normal"/>
        <w:jc w:val="both"/>
        <w:rPr>
          <w:rFonts w:ascii="Verdana" w:hAnsi="Verdana" w:cs="Verdana"/>
          <w:b/>
          <w:color w:val="BF0000"/>
          <w:sz w:val="22"/>
          <w:szCs w:val="22"/>
          <w:u w:val="single"/>
        </w:rPr>
      </w:pPr>
      <w:r>
        <w:rPr>
          <w:rFonts w:cs="Verdana" w:ascii="Verdana" w:hAnsi="Verdana"/>
          <w:b/>
          <w:color w:val="BF0000"/>
          <w:sz w:val="22"/>
          <w:szCs w:val="22"/>
          <w:u w:val="single"/>
        </w:rPr>
      </w:r>
    </w:p>
    <w:tbl>
      <w:tblPr>
        <w:tblpPr w:vertAnchor="text" w:horzAnchor="margin" w:rightFromText="180" w:tblpX="5" w:tblpY="41"/>
        <w:tblW w:w="10525" w:type="dxa"/>
        <w:jc w:val="left"/>
        <w:tblInd w:w="72" w:type="dxa"/>
        <w:tblLayout w:type="fixed"/>
        <w:tblCellMar>
          <w:top w:w="0" w:type="dxa"/>
          <w:left w:w="72" w:type="dxa"/>
          <w:bottom w:w="0" w:type="dxa"/>
          <w:right w:w="72" w:type="dxa"/>
        </w:tblCellMar>
      </w:tblPr>
      <w:tblGrid>
        <w:gridCol w:w="1915"/>
        <w:gridCol w:w="8610"/>
      </w:tblGrid>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2"/>
                <w:szCs w:val="22"/>
              </w:rPr>
            </w:pPr>
            <w:r>
              <w:rPr>
                <w:rFonts w:cs="Verdana" w:ascii="Verdana" w:hAnsi="Verdana"/>
                <w:b/>
                <w:color w:val="002060"/>
                <w:sz w:val="22"/>
                <w:szCs w:val="22"/>
              </w:rPr>
              <w:t>Project #2</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b/>
                <w:color w:val="002060"/>
                <w:sz w:val="22"/>
                <w:szCs w:val="22"/>
              </w:rPr>
            </w:pPr>
            <w:r>
              <w:rPr>
                <w:rFonts w:cs="Verdana" w:ascii="Verdana" w:hAnsi="Verdana"/>
                <w:b/>
                <w:color w:val="002060"/>
                <w:sz w:val="22"/>
                <w:szCs w:val="22"/>
              </w:rPr>
              <w:t>Cox Automotive – Oracle EBS 12.1.3 (Enhancement work in EBS)</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Customer</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Cox Automotive, Inc.</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Period</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Oct’18 – Mar’19</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Role</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Jr Developer</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Modules</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Verdana" w:hAnsi="Verdana" w:cs="Verdana"/>
                <w:color w:val="002060"/>
                <w:sz w:val="20"/>
                <w:szCs w:val="20"/>
              </w:rPr>
            </w:pPr>
            <w:r>
              <w:rPr>
                <w:rFonts w:cs="Verdana" w:ascii="Verdana" w:hAnsi="Verdana"/>
                <w:color w:val="002060"/>
                <w:sz w:val="20"/>
                <w:szCs w:val="20"/>
              </w:rPr>
              <w:t>Oracle Purchasing, Oracle Payables</w:t>
            </w:r>
          </w:p>
        </w:tc>
      </w:tr>
      <w:tr>
        <w:trPr>
          <w:trHeight w:val="723" w:hRule="atLeast"/>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Description</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rPr>
                <w:rFonts w:ascii="Verdana" w:hAnsi="Verdana" w:cs="Verdana"/>
                <w:color w:val="002060"/>
                <w:sz w:val="20"/>
                <w:szCs w:val="20"/>
              </w:rPr>
            </w:pPr>
            <w:r>
              <w:rPr>
                <w:rFonts w:cs="Verdana" w:ascii="Verdana" w:hAnsi="Verdana"/>
                <w:color w:val="002060"/>
                <w:sz w:val="20"/>
                <w:szCs w:val="20"/>
              </w:rPr>
              <w:t>Cox Automotive is a leading provider of products and services spanning the automotive ecosystem.  The project is about developing new interfaces, reports and adding new custom features to the existing oracle E-biz. Worked majorly on P2P stream.</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Responsibilities</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Involved in Custom components testing</w:t>
            </w:r>
          </w:p>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Supplier Data Fix</w:t>
            </w:r>
          </w:p>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Developing XML Publisher Reports</w:t>
            </w:r>
          </w:p>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 xml:space="preserve">Developing Custom Programs </w:t>
            </w:r>
          </w:p>
        </w:tc>
      </w:tr>
    </w:tbl>
    <w:p>
      <w:pPr>
        <w:pStyle w:val="Normal"/>
        <w:jc w:val="both"/>
        <w:rPr>
          <w:rFonts w:ascii="Verdana" w:hAnsi="Verdana" w:cs="Verdana"/>
          <w:b/>
          <w:color w:val="808080"/>
        </w:rPr>
      </w:pPr>
      <w:r>
        <w:rPr>
          <w:rFonts w:cs="Verdana" w:ascii="Verdana" w:hAnsi="Verdana"/>
          <w:b/>
          <w:color w:val="808080"/>
        </w:rPr>
      </w:r>
      <w:r>
        <w:br w:type="page"/>
      </w:r>
    </w:p>
    <w:p>
      <w:pPr>
        <w:pStyle w:val="Normal"/>
        <w:jc w:val="both"/>
        <w:rPr>
          <w:rFonts w:ascii="Verdana" w:hAnsi="Verdana" w:cs="Verdana"/>
          <w:b/>
          <w:color w:val="808080"/>
        </w:rPr>
      </w:pPr>
      <w:r>
        <w:rPr>
          <w:rFonts w:cs="Verdana" w:ascii="Verdana" w:hAnsi="Verdana"/>
          <w:b/>
          <w:color w:val="808080"/>
        </w:rPr>
      </w:r>
    </w:p>
    <w:tbl>
      <w:tblPr>
        <w:tblW w:w="10525" w:type="dxa"/>
        <w:jc w:val="center"/>
        <w:tblInd w:w="0" w:type="dxa"/>
        <w:tblLayout w:type="fixed"/>
        <w:tblCellMar>
          <w:top w:w="0" w:type="dxa"/>
          <w:left w:w="72" w:type="dxa"/>
          <w:bottom w:w="0" w:type="dxa"/>
          <w:right w:w="72" w:type="dxa"/>
        </w:tblCellMar>
      </w:tblPr>
      <w:tblGrid>
        <w:gridCol w:w="1915"/>
        <w:gridCol w:w="8610"/>
      </w:tblGrid>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2"/>
                <w:szCs w:val="22"/>
              </w:rPr>
            </w:pPr>
            <w:r>
              <w:rPr>
                <w:rFonts w:cs="Verdana" w:ascii="Verdana" w:hAnsi="Verdana"/>
                <w:b/>
                <w:color w:val="002060"/>
                <w:sz w:val="22"/>
                <w:szCs w:val="22"/>
              </w:rPr>
              <w:t>Project #1</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b/>
                <w:color w:val="002060"/>
                <w:sz w:val="22"/>
                <w:szCs w:val="22"/>
              </w:rPr>
            </w:pPr>
            <w:r>
              <w:rPr>
                <w:rFonts w:cs="Verdana" w:ascii="Verdana" w:hAnsi="Verdana"/>
                <w:b/>
                <w:color w:val="002060"/>
                <w:sz w:val="22"/>
                <w:szCs w:val="22"/>
              </w:rPr>
              <w:t>Weight Watchers - Oracle EBS 11.5.10.2 to EBS 12.2.6 (Upgrade)</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pPr>
            <w:r>
              <w:rPr>
                <w:rFonts w:cs="Verdana" w:ascii="Verdana" w:hAnsi="Verdana"/>
                <w:b/>
                <w:color w:val="002060"/>
                <w:sz w:val="20"/>
                <w:szCs w:val="20"/>
              </w:rPr>
              <w:t>Customer</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WW International, Inc.</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Period</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Jan’18 – Sep’18</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Role</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Jr Developer</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Modules</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Verdana" w:hAnsi="Verdana" w:cs="Verdana"/>
                <w:color w:val="002060"/>
                <w:sz w:val="20"/>
                <w:szCs w:val="20"/>
              </w:rPr>
            </w:pPr>
            <w:r>
              <w:rPr>
                <w:rFonts w:cs="Verdana" w:ascii="Verdana" w:hAnsi="Verdana"/>
                <w:color w:val="002060"/>
                <w:sz w:val="20"/>
                <w:szCs w:val="20"/>
              </w:rPr>
              <w:t>Oracle Payables, Oracle Receivables, Inventory, iProcurement</w:t>
            </w:r>
          </w:p>
        </w:tc>
      </w:tr>
      <w:tr>
        <w:trPr>
          <w:trHeight w:val="723" w:hRule="atLeast"/>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Description</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rPr>
                <w:rFonts w:ascii="Verdana" w:hAnsi="Verdana" w:cs="Verdana"/>
                <w:color w:val="002060"/>
                <w:sz w:val="20"/>
                <w:szCs w:val="20"/>
              </w:rPr>
            </w:pPr>
            <w:r>
              <w:rPr>
                <w:rFonts w:cs="Verdana" w:ascii="Verdana" w:hAnsi="Verdana"/>
                <w:color w:val="002060"/>
                <w:sz w:val="20"/>
                <w:szCs w:val="20"/>
              </w:rPr>
              <w:t>WW International, Inc., formerly Weight Watchers International, Inc., is an American company that offers various products and services to assist in healthy habits, including weight loss and maintenance, fitness, and mindset.</w:t>
            </w:r>
          </w:p>
        </w:tc>
      </w:tr>
      <w:tr>
        <w:trPr/>
        <w:tc>
          <w:tcPr>
            <w:tcW w:w="1915" w:type="dxa"/>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rPr>
                <w:rFonts w:ascii="Verdana" w:hAnsi="Verdana" w:cs="Verdana"/>
                <w:b/>
                <w:color w:val="002060"/>
                <w:sz w:val="20"/>
                <w:szCs w:val="20"/>
              </w:rPr>
            </w:pPr>
            <w:r>
              <w:rPr>
                <w:rFonts w:cs="Verdana" w:ascii="Verdana" w:hAnsi="Verdana"/>
                <w:b/>
                <w:color w:val="002060"/>
                <w:sz w:val="20"/>
                <w:szCs w:val="20"/>
              </w:rPr>
              <w:t>Responsibilities</w:t>
            </w:r>
          </w:p>
        </w:tc>
        <w:tc>
          <w:tcPr>
            <w:tcW w:w="8610"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 xml:space="preserve">Responsible for CEMLI Remediation of FIN Objects for UK </w:t>
            </w:r>
          </w:p>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 xml:space="preserve">Responsible for CEMLI Remediation of SCM/FIN Objects for NACO and Canada </w:t>
            </w:r>
          </w:p>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 xml:space="preserve">Responsible for CEMLI Remediation of OAF, Custom JSP components of iPROC. </w:t>
            </w:r>
          </w:p>
          <w:p>
            <w:pPr>
              <w:pStyle w:val="Normal"/>
              <w:widowControl w:val="false"/>
              <w:numPr>
                <w:ilvl w:val="0"/>
                <w:numId w:val="3"/>
              </w:numPr>
              <w:autoSpaceDE w:val="false"/>
              <w:ind w:hanging="270" w:left="410" w:right="0"/>
              <w:rPr>
                <w:rFonts w:ascii="Verdana" w:hAnsi="Verdana" w:cs="Verdana"/>
                <w:color w:val="002060"/>
                <w:sz w:val="20"/>
                <w:szCs w:val="20"/>
              </w:rPr>
            </w:pPr>
            <w:r>
              <w:rPr>
                <w:rFonts w:cs="Verdana" w:ascii="Verdana" w:hAnsi="Verdana"/>
                <w:color w:val="002060"/>
                <w:sz w:val="20"/>
                <w:szCs w:val="20"/>
              </w:rPr>
              <w:t xml:space="preserve">Involved in Custom components testing </w:t>
            </w:r>
          </w:p>
          <w:p>
            <w:pPr>
              <w:pStyle w:val="Normal"/>
              <w:widowControl w:val="false"/>
              <w:autoSpaceDE w:val="false"/>
              <w:ind w:left="410" w:right="0"/>
              <w:rPr>
                <w:rFonts w:ascii="Verdana" w:hAnsi="Verdana" w:cs="Verdana"/>
                <w:color w:val="002060"/>
                <w:sz w:val="20"/>
                <w:szCs w:val="20"/>
              </w:rPr>
            </w:pPr>
            <w:r>
              <w:rPr>
                <w:rFonts w:cs="Verdana" w:ascii="Verdana" w:hAnsi="Verdana"/>
                <w:color w:val="002060"/>
                <w:sz w:val="20"/>
                <w:szCs w:val="20"/>
              </w:rPr>
            </w:r>
          </w:p>
        </w:tc>
      </w:tr>
    </w:tbl>
    <w:p>
      <w:pPr>
        <w:pStyle w:val="Normal"/>
        <w:tabs>
          <w:tab w:val="clear" w:pos="720"/>
          <w:tab w:val="center" w:pos="5256" w:leader="none"/>
        </w:tabs>
        <w:spacing w:lineRule="atLeast" w:line="320"/>
        <w:rPr>
          <w:rFonts w:ascii="Verdana" w:hAnsi="Verdana" w:cs="Verdana"/>
          <w:b/>
          <w:color w:val="BF0000"/>
          <w:sz w:val="22"/>
          <w:szCs w:val="22"/>
          <w:u w:val="single"/>
        </w:rPr>
      </w:pPr>
      <w:r>
        <w:rPr>
          <w:rFonts w:cs="Verdana" w:ascii="Verdana" w:hAnsi="Verdana"/>
          <w:b/>
          <w:color w:val="BF0000"/>
          <w:sz w:val="22"/>
          <w:szCs w:val="22"/>
          <w:u w:val="single"/>
        </w:rPr>
      </w:r>
    </w:p>
    <w:p>
      <w:pPr>
        <w:pStyle w:val="Normal"/>
        <w:tabs>
          <w:tab w:val="clear" w:pos="720"/>
          <w:tab w:val="center" w:pos="5256" w:leader="none"/>
        </w:tabs>
        <w:spacing w:lineRule="atLeast" w:line="320"/>
        <w:rPr>
          <w:rFonts w:ascii="Verdana" w:hAnsi="Verdana" w:cs="Verdana"/>
          <w:b/>
          <w:color w:val="BF0000"/>
          <w:sz w:val="22"/>
          <w:szCs w:val="22"/>
          <w:u w:val="single"/>
        </w:rPr>
      </w:pPr>
      <w:r>
        <w:rPr>
          <w:rFonts w:cs="Verdana" w:ascii="Verdana" w:hAnsi="Verdana"/>
          <w:b/>
          <w:color w:val="BF0000"/>
          <w:sz w:val="22"/>
          <w:szCs w:val="22"/>
          <w:u w:val="single"/>
        </w:rPr>
      </w:r>
    </w:p>
    <w:p>
      <w:pPr>
        <w:pStyle w:val="Normal"/>
        <w:tabs>
          <w:tab w:val="clear" w:pos="720"/>
          <w:tab w:val="center" w:pos="5256" w:leader="none"/>
        </w:tabs>
        <w:spacing w:lineRule="atLeast" w:line="320"/>
        <w:rPr>
          <w:rFonts w:ascii="Verdana" w:hAnsi="Verdana" w:cs="Verdana"/>
          <w:b/>
          <w:color w:val="BF0000"/>
          <w:sz w:val="22"/>
          <w:szCs w:val="22"/>
          <w:u w:val="single"/>
        </w:rPr>
      </w:pPr>
      <w:r>
        <w:rPr>
          <w:rFonts w:cs="Verdana" w:ascii="Verdana" w:hAnsi="Verdana"/>
          <w:b/>
          <w:color w:val="BF0000"/>
          <w:sz w:val="22"/>
          <w:szCs w:val="22"/>
          <w:u w:val="single"/>
        </w:rPr>
        <w:t>Academics &amp; Certification</w:t>
      </w:r>
      <w:r>
        <w:rPr>
          <w:rFonts w:cs="Verdana" w:ascii="Verdana" w:hAnsi="Verdana"/>
          <w:b/>
          <w:color w:val="BF0000"/>
          <w:sz w:val="22"/>
          <w:szCs w:val="22"/>
        </w:rPr>
        <w:t>:</w:t>
        <w:tab/>
      </w:r>
    </w:p>
    <w:p>
      <w:pPr>
        <w:pStyle w:val="Normal"/>
        <w:spacing w:lineRule="atLeast" w:line="320"/>
        <w:rPr>
          <w:rFonts w:ascii="Verdana" w:hAnsi="Verdana" w:cs="Verdana"/>
          <w:b/>
          <w:color w:val="BF0000"/>
          <w:sz w:val="22"/>
          <w:szCs w:val="22"/>
          <w:u w:val="single"/>
        </w:rPr>
      </w:pPr>
      <w:r>
        <w:rPr>
          <w:rFonts w:cs="Verdana" w:ascii="Verdana" w:hAnsi="Verdana"/>
          <w:b/>
          <w:color w:val="BF0000"/>
          <w:sz w:val="22"/>
          <w:szCs w:val="22"/>
          <w:u w:val="single"/>
        </w:rPr>
      </w:r>
    </w:p>
    <w:tbl>
      <w:tblPr>
        <w:tblW w:w="10656" w:type="dxa"/>
        <w:jc w:val="center"/>
        <w:tblInd w:w="0" w:type="dxa"/>
        <w:tblLayout w:type="fixed"/>
        <w:tblCellMar>
          <w:top w:w="29" w:type="dxa"/>
          <w:left w:w="72" w:type="dxa"/>
          <w:bottom w:w="29" w:type="dxa"/>
          <w:right w:w="72" w:type="dxa"/>
        </w:tblCellMar>
      </w:tblPr>
      <w:tblGrid>
        <w:gridCol w:w="3406"/>
        <w:gridCol w:w="1753"/>
        <w:gridCol w:w="1131"/>
        <w:gridCol w:w="1105"/>
        <w:gridCol w:w="3261"/>
      </w:tblGrid>
      <w:tr>
        <w:trPr>
          <w:trHeight w:val="70" w:hRule="atLeast"/>
        </w:trPr>
        <w:tc>
          <w:tcPr>
            <w:tcW w:w="3406" w:type="dxa"/>
            <w:vMerge w:val="restart"/>
            <w:tcBorders>
              <w:top w:val="single" w:sz="4" w:space="0" w:color="000000"/>
              <w:left w:val="single" w:sz="4" w:space="0" w:color="000000"/>
              <w:bottom w:val="single" w:sz="8" w:space="0" w:color="000000"/>
              <w:right w:val="single" w:sz="4" w:space="0" w:color="000000"/>
            </w:tcBorders>
            <w:shd w:fill="C0C0C0" w:val="clear"/>
          </w:tcPr>
          <w:p>
            <w:pPr>
              <w:pStyle w:val="Normal"/>
              <w:spacing w:lineRule="atLeast" w:line="320"/>
              <w:jc w:val="center"/>
              <w:rPr>
                <w:rFonts w:ascii="Verdana" w:hAnsi="Verdana" w:cs="Verdana"/>
                <w:color w:val="002060"/>
                <w:sz w:val="20"/>
                <w:szCs w:val="20"/>
              </w:rPr>
            </w:pPr>
            <w:r>
              <w:rPr>
                <w:rFonts w:cs="Verdana" w:ascii="Verdana" w:hAnsi="Verdana"/>
                <w:b/>
                <w:bCs/>
                <w:color w:val="002060"/>
                <w:sz w:val="20"/>
                <w:szCs w:val="20"/>
              </w:rPr>
              <w:t>Qualification</w:t>
            </w:r>
          </w:p>
        </w:tc>
        <w:tc>
          <w:tcPr>
            <w:tcW w:w="1753" w:type="dxa"/>
            <w:vMerge w:val="restart"/>
            <w:tcBorders>
              <w:top w:val="single" w:sz="4" w:space="0" w:color="000000"/>
              <w:left w:val="single" w:sz="4" w:space="0" w:color="000000"/>
              <w:bottom w:val="single" w:sz="8" w:space="0" w:color="000000"/>
              <w:right w:val="single" w:sz="4" w:space="0" w:color="000000"/>
            </w:tcBorders>
            <w:shd w:fill="C0C0C0" w:val="clear"/>
          </w:tcPr>
          <w:p>
            <w:pPr>
              <w:pStyle w:val="Normal"/>
              <w:spacing w:lineRule="atLeast" w:line="320"/>
              <w:jc w:val="center"/>
              <w:rPr>
                <w:rFonts w:ascii="Verdana" w:hAnsi="Verdana" w:cs="Verdana"/>
                <w:color w:val="002060"/>
                <w:sz w:val="20"/>
                <w:szCs w:val="20"/>
              </w:rPr>
            </w:pPr>
            <w:r>
              <w:rPr>
                <w:rFonts w:cs="Verdana" w:ascii="Verdana" w:hAnsi="Verdana"/>
                <w:b/>
                <w:bCs/>
                <w:color w:val="002060"/>
                <w:sz w:val="20"/>
                <w:szCs w:val="20"/>
              </w:rPr>
              <w:t>Qualification Category</w:t>
            </w:r>
          </w:p>
        </w:tc>
        <w:tc>
          <w:tcPr>
            <w:tcW w:w="2236" w:type="dxa"/>
            <w:gridSpan w:val="2"/>
            <w:tcBorders>
              <w:top w:val="single" w:sz="4" w:space="0" w:color="000000"/>
              <w:left w:val="single" w:sz="4" w:space="0" w:color="000000"/>
              <w:bottom w:val="single" w:sz="4" w:space="0" w:color="000000"/>
              <w:right w:val="single" w:sz="4" w:space="0" w:color="000000"/>
            </w:tcBorders>
            <w:shd w:fill="C0C0C0" w:val="clear"/>
          </w:tcPr>
          <w:p>
            <w:pPr>
              <w:pStyle w:val="Normal"/>
              <w:spacing w:lineRule="atLeast" w:line="320"/>
              <w:jc w:val="center"/>
              <w:rPr>
                <w:rFonts w:ascii="Verdana" w:hAnsi="Verdana" w:cs="Verdana"/>
                <w:b/>
                <w:bCs/>
                <w:color w:val="002060"/>
                <w:sz w:val="20"/>
                <w:szCs w:val="20"/>
              </w:rPr>
            </w:pPr>
            <w:r>
              <w:rPr>
                <w:rFonts w:cs="Verdana" w:ascii="Verdana" w:hAnsi="Verdana"/>
                <w:b/>
                <w:bCs/>
                <w:color w:val="002060"/>
                <w:sz w:val="20"/>
                <w:szCs w:val="20"/>
              </w:rPr>
              <w:t>Year</w:t>
            </w:r>
          </w:p>
        </w:tc>
        <w:tc>
          <w:tcPr>
            <w:tcW w:w="3261" w:type="dxa"/>
            <w:vMerge w:val="restart"/>
            <w:tcBorders>
              <w:top w:val="single" w:sz="4" w:space="0" w:color="000000"/>
              <w:left w:val="single" w:sz="4" w:space="0" w:color="000000"/>
              <w:bottom w:val="single" w:sz="8" w:space="0" w:color="000000"/>
              <w:right w:val="single" w:sz="4" w:space="0" w:color="000000"/>
            </w:tcBorders>
            <w:shd w:fill="C0C0C0" w:val="clear"/>
          </w:tcPr>
          <w:p>
            <w:pPr>
              <w:pStyle w:val="Normal"/>
              <w:spacing w:lineRule="atLeast" w:line="320"/>
              <w:jc w:val="center"/>
              <w:rPr>
                <w:rFonts w:ascii="Verdana" w:hAnsi="Verdana" w:cs="Verdana"/>
                <w:color w:val="002060"/>
                <w:sz w:val="20"/>
                <w:szCs w:val="20"/>
              </w:rPr>
            </w:pPr>
            <w:r>
              <w:rPr>
                <w:rFonts w:cs="Verdana" w:ascii="Verdana" w:hAnsi="Verdana"/>
                <w:b/>
                <w:bCs/>
                <w:color w:val="002060"/>
                <w:sz w:val="20"/>
                <w:szCs w:val="20"/>
              </w:rPr>
              <w:t>Subject</w:t>
            </w:r>
          </w:p>
        </w:tc>
      </w:tr>
      <w:tr>
        <w:trPr>
          <w:trHeight w:val="90" w:hRule="atLeast"/>
        </w:trPr>
        <w:tc>
          <w:tcPr>
            <w:tcW w:w="3406" w:type="dxa"/>
            <w:vMerge w:val="continue"/>
            <w:tcBorders>
              <w:top w:val="single" w:sz="4" w:space="0" w:color="000000"/>
              <w:left w:val="single" w:sz="4" w:space="0" w:color="000000"/>
              <w:bottom w:val="single" w:sz="8" w:space="0" w:color="000000"/>
              <w:right w:val="single" w:sz="4" w:space="0" w:color="000000"/>
            </w:tcBorders>
            <w:shd w:fill="C0C0C0" w:val="clear"/>
          </w:tcPr>
          <w:p>
            <w:pPr>
              <w:pStyle w:val="Normal"/>
              <w:snapToGrid w:val="false"/>
              <w:spacing w:lineRule="atLeast" w:line="320"/>
              <w:jc w:val="center"/>
              <w:rPr>
                <w:rFonts w:ascii="Verdana" w:hAnsi="Verdana" w:cs="Verdana"/>
                <w:b/>
                <w:bCs/>
                <w:color w:val="002060"/>
                <w:sz w:val="20"/>
                <w:szCs w:val="20"/>
              </w:rPr>
            </w:pPr>
            <w:r>
              <w:rPr>
                <w:rFonts w:cs="Verdana" w:ascii="Verdana" w:hAnsi="Verdana"/>
                <w:b/>
                <w:bCs/>
                <w:color w:val="002060"/>
                <w:sz w:val="20"/>
                <w:szCs w:val="20"/>
              </w:rPr>
            </w:r>
          </w:p>
        </w:tc>
        <w:tc>
          <w:tcPr>
            <w:tcW w:w="1753" w:type="dxa"/>
            <w:vMerge w:val="continue"/>
            <w:tcBorders>
              <w:top w:val="single" w:sz="4" w:space="0" w:color="000000"/>
              <w:left w:val="single" w:sz="4" w:space="0" w:color="000000"/>
              <w:bottom w:val="single" w:sz="8" w:space="0" w:color="000000"/>
              <w:right w:val="single" w:sz="4" w:space="0" w:color="000000"/>
            </w:tcBorders>
            <w:shd w:fill="C0C0C0" w:val="clear"/>
          </w:tcPr>
          <w:p>
            <w:pPr>
              <w:pStyle w:val="Normal"/>
              <w:snapToGrid w:val="false"/>
              <w:spacing w:lineRule="atLeast" w:line="320"/>
              <w:jc w:val="center"/>
              <w:rPr>
                <w:rFonts w:ascii="Verdana" w:hAnsi="Verdana" w:cs="Verdana"/>
                <w:b/>
                <w:bCs/>
                <w:color w:val="002060"/>
                <w:sz w:val="20"/>
                <w:szCs w:val="20"/>
              </w:rPr>
            </w:pPr>
            <w:r>
              <w:rPr>
                <w:rFonts w:cs="Verdana" w:ascii="Verdana" w:hAnsi="Verdana"/>
                <w:b/>
                <w:bCs/>
                <w:color w:val="002060"/>
                <w:sz w:val="20"/>
                <w:szCs w:val="20"/>
              </w:rPr>
            </w:r>
          </w:p>
        </w:tc>
        <w:tc>
          <w:tcPr>
            <w:tcW w:w="1131" w:type="dxa"/>
            <w:tcBorders>
              <w:top w:val="single" w:sz="4" w:space="0" w:color="000000"/>
              <w:left w:val="single" w:sz="4" w:space="0" w:color="000000"/>
              <w:bottom w:val="single" w:sz="4" w:space="0" w:color="000000"/>
              <w:right w:val="single" w:sz="4" w:space="0" w:color="000000"/>
            </w:tcBorders>
            <w:shd w:fill="C0C0C0" w:val="clear"/>
          </w:tcPr>
          <w:p>
            <w:pPr>
              <w:pStyle w:val="Normal"/>
              <w:rPr>
                <w:rFonts w:ascii="Verdana" w:hAnsi="Verdana" w:cs="Verdana"/>
                <w:b/>
                <w:bCs/>
                <w:color w:val="002060"/>
                <w:sz w:val="20"/>
                <w:szCs w:val="20"/>
              </w:rPr>
            </w:pPr>
            <w:r>
              <w:rPr>
                <w:rFonts w:cs="Verdana" w:ascii="Verdana" w:hAnsi="Verdana"/>
                <w:b/>
                <w:bCs/>
                <w:color w:val="002060"/>
                <w:sz w:val="20"/>
                <w:szCs w:val="20"/>
              </w:rPr>
              <w:t>From</w:t>
            </w:r>
          </w:p>
        </w:tc>
        <w:tc>
          <w:tcPr>
            <w:tcW w:w="1105" w:type="dxa"/>
            <w:tcBorders>
              <w:top w:val="single" w:sz="4" w:space="0" w:color="000000"/>
              <w:left w:val="single" w:sz="4" w:space="0" w:color="000000"/>
              <w:bottom w:val="single" w:sz="4" w:space="0" w:color="000000"/>
              <w:right w:val="single" w:sz="4" w:space="0" w:color="000000"/>
            </w:tcBorders>
            <w:shd w:fill="C0C0C0" w:val="clear"/>
          </w:tcPr>
          <w:p>
            <w:pPr>
              <w:pStyle w:val="Normal"/>
              <w:rPr>
                <w:rFonts w:ascii="Verdana" w:hAnsi="Verdana" w:cs="Verdana"/>
                <w:b/>
                <w:bCs/>
                <w:color w:val="002060"/>
                <w:sz w:val="20"/>
                <w:szCs w:val="20"/>
              </w:rPr>
            </w:pPr>
            <w:r>
              <w:rPr>
                <w:rFonts w:cs="Verdana" w:ascii="Verdana" w:hAnsi="Verdana"/>
                <w:b/>
                <w:bCs/>
                <w:color w:val="002060"/>
                <w:sz w:val="20"/>
                <w:szCs w:val="20"/>
              </w:rPr>
              <w:t>To</w:t>
            </w:r>
          </w:p>
        </w:tc>
        <w:tc>
          <w:tcPr>
            <w:tcW w:w="3261" w:type="dxa"/>
            <w:vMerge w:val="continue"/>
            <w:tcBorders>
              <w:top w:val="single" w:sz="4" w:space="0" w:color="000000"/>
              <w:left w:val="single" w:sz="4" w:space="0" w:color="000000"/>
              <w:bottom w:val="single" w:sz="8" w:space="0" w:color="000000"/>
              <w:right w:val="single" w:sz="4" w:space="0" w:color="000000"/>
            </w:tcBorders>
            <w:shd w:fill="C0C0C0" w:val="clear"/>
          </w:tcPr>
          <w:p>
            <w:pPr>
              <w:pStyle w:val="Normal"/>
              <w:snapToGrid w:val="false"/>
              <w:spacing w:lineRule="atLeast" w:line="320"/>
              <w:jc w:val="center"/>
              <w:rPr>
                <w:rFonts w:ascii="Verdana" w:hAnsi="Verdana" w:cs="Verdana"/>
                <w:b/>
                <w:bCs/>
                <w:color w:val="002060"/>
                <w:sz w:val="20"/>
                <w:szCs w:val="20"/>
              </w:rPr>
            </w:pPr>
            <w:r>
              <w:rPr>
                <w:rFonts w:cs="Verdana" w:ascii="Verdana" w:hAnsi="Verdana"/>
                <w:b/>
                <w:bCs/>
                <w:color w:val="002060"/>
                <w:sz w:val="20"/>
                <w:szCs w:val="20"/>
              </w:rPr>
            </w:r>
          </w:p>
        </w:tc>
      </w:tr>
      <w:tr>
        <w:trPr>
          <w:trHeight w:val="323" w:hRule="atLeast"/>
        </w:trPr>
        <w:tc>
          <w:tcPr>
            <w:tcW w:w="340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Master of Computer Science (MCA)</w:t>
            </w:r>
          </w:p>
        </w:tc>
        <w:tc>
          <w:tcPr>
            <w:tcW w:w="1753"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PG</w:t>
            </w:r>
          </w:p>
        </w:tc>
        <w:tc>
          <w:tcPr>
            <w:tcW w:w="1131"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2014</w:t>
            </w:r>
          </w:p>
        </w:tc>
        <w:tc>
          <w:tcPr>
            <w:tcW w:w="110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2017</w:t>
            </w:r>
          </w:p>
        </w:tc>
        <w:tc>
          <w:tcPr>
            <w:tcW w:w="3261"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tLeast" w:line="320"/>
              <w:rPr>
                <w:rFonts w:ascii="Verdana" w:hAnsi="Verdana" w:cs="Verdana"/>
                <w:color w:val="002060"/>
                <w:sz w:val="20"/>
                <w:szCs w:val="20"/>
              </w:rPr>
            </w:pPr>
            <w:r>
              <w:rPr>
                <w:rFonts w:cs="Verdana" w:ascii="Verdana" w:hAnsi="Verdana"/>
                <w:color w:val="002060"/>
                <w:sz w:val="20"/>
                <w:szCs w:val="20"/>
              </w:rPr>
              <w:t>Jawaharlal Nehru Technological University, Hyderabad.</w:t>
            </w:r>
          </w:p>
        </w:tc>
      </w:tr>
    </w:tbl>
    <w:p>
      <w:pPr>
        <w:pStyle w:val="Normal"/>
        <w:pBdr>
          <w:bottom w:val="single" w:sz="8" w:space="0" w:color="000000"/>
        </w:pBdr>
        <w:ind w:hanging="2160" w:left="2160" w:right="0"/>
        <w:rPr>
          <w:rFonts w:ascii="Verdana" w:hAnsi="Verdana" w:cs="Verdana"/>
          <w:b/>
          <w:color w:val="BF0000"/>
          <w:sz w:val="22"/>
          <w:szCs w:val="22"/>
        </w:rPr>
      </w:pPr>
      <w:r>
        <w:rPr>
          <w:rFonts w:cs="Verdana" w:ascii="Verdana" w:hAnsi="Verdana"/>
          <w:b/>
          <w:color w:val="BF0000"/>
          <w:sz w:val="22"/>
          <w:szCs w:val="22"/>
        </w:rPr>
      </w:r>
    </w:p>
    <w:p>
      <w:pPr>
        <w:pStyle w:val="Normal"/>
        <w:pBdr>
          <w:bottom w:val="single" w:sz="8" w:space="0" w:color="000000"/>
        </w:pBdr>
        <w:ind w:hanging="2160" w:left="2160" w:right="0"/>
        <w:rPr>
          <w:rFonts w:ascii="Verdana" w:hAnsi="Verdana" w:cs="Verdana"/>
          <w:b/>
          <w:color w:val="BF0000"/>
          <w:sz w:val="22"/>
          <w:szCs w:val="22"/>
        </w:rPr>
      </w:pPr>
      <w:r>
        <w:rPr>
          <w:rFonts w:cs="Verdana" w:ascii="Verdana" w:hAnsi="Verdana"/>
          <w:b/>
          <w:color w:val="BF0000"/>
          <w:sz w:val="22"/>
          <w:szCs w:val="22"/>
        </w:rPr>
      </w:r>
    </w:p>
    <w:p>
      <w:pPr>
        <w:pStyle w:val="Normal"/>
        <w:pBdr>
          <w:bottom w:val="single" w:sz="8" w:space="0" w:color="000000"/>
        </w:pBdr>
        <w:ind w:hanging="2160" w:left="2160" w:right="0"/>
        <w:rPr>
          <w:vanish/>
          <w:sz w:val="20"/>
          <w:szCs w:val="20"/>
        </w:rPr>
      </w:pPr>
      <w:r>
        <w:rPr>
          <w:vanish/>
          <w:sz w:val="20"/>
          <w:szCs w:val="20"/>
        </w:rPr>
        <w:drawing>
          <wp:anchor behindDoc="0" distT="0" distB="0" distL="114935" distR="114935" simplePos="0" locked="0" layoutInCell="1" allowOverlap="1" relativeHeight="5">
            <wp:simplePos x="0" y="0"/>
            <wp:positionH relativeFrom="column">
              <wp:posOffset>0</wp:posOffset>
            </wp:positionH>
            <wp:positionV relativeFrom="paragraph">
              <wp:posOffset>635</wp:posOffset>
            </wp:positionV>
            <wp:extent cx="12700" cy="12700"/>
            <wp:effectExtent l="0" t="0" r="0" b="0"/>
            <wp:wrapNone/>
            <wp:docPr id="2"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nCv" descr=""/>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bookmarkStart w:id="5" w:name="OLE_LINK1"/>
      <w:bookmarkStart w:id="6" w:name="OLE_LINK2"/>
      <w:bookmarkStart w:id="7" w:name="_PictureBullets"/>
      <w:bookmarkStart w:id="8" w:name="OLE_LINK1"/>
      <w:bookmarkStart w:id="9" w:name="OLE_LINK2"/>
      <w:bookmarkStart w:id="10" w:name="_PictureBullets"/>
      <w:bookmarkEnd w:id="8"/>
      <w:bookmarkEnd w:id="9"/>
      <w:bookmarkEnd w:id="10"/>
    </w:p>
    <w:sectPr>
      <w:headerReference w:type="default" r:id="rId3"/>
      <w:type w:val="nextPage"/>
      <w:pgSz w:w="12240" w:h="15840"/>
      <w:pgMar w:left="864" w:right="864" w:gutter="0" w:header="576" w:top="936"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Book Antiqua">
    <w:charset w:val="00"/>
    <w:family w:val="roman"/>
    <w:pitch w:val="variable"/>
  </w:font>
  <w:font w:name="Tahoma">
    <w:charset w:val="00"/>
    <w:family w:val="swiss"/>
    <w:pitch w:val="variable"/>
  </w:font>
  <w:font w:name="Verdana">
    <w:charset w:val="00"/>
    <w:family w:val="swiss"/>
    <w:pitch w:val="variable"/>
  </w:font>
  <w:font w:name="Garamond">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Verdana" w:hAnsi="Verdana" w:cs="Verdana"/>
        <w:b/>
        <w:sz w:val="28"/>
        <w:szCs w:val="36"/>
      </w:rPr>
    </w:pPr>
    <w:bookmarkStart w:id="11" w:name="OLE_LINK14"/>
    <w:r>
      <w:rPr>
        <w:rFonts w:cs="Verdana" w:ascii="Verdana" w:hAnsi="Verdana"/>
        <w:b/>
        <w:sz w:val="28"/>
        <w:szCs w:val="36"/>
      </w:rPr>
      <w:t>Rushi Kumar Chilakala</w:t>
    </w:r>
  </w:p>
  <w:p>
    <w:pPr>
      <w:pStyle w:val="Normal"/>
      <w:rPr/>
    </w:pPr>
    <w:r>
      <w:rPr>
        <w:rFonts w:cs="Verdana" w:ascii="Verdana" w:hAnsi="Verdana"/>
        <w:bCs/>
        <w:color w:val="1F497D"/>
        <w:sz w:val="20"/>
        <w:szCs w:val="20"/>
      </w:rPr>
      <w:t>Oracle EBS Technical Consultant</w:t>
    </w:r>
  </w:p>
  <w:p>
    <w:pPr>
      <w:pStyle w:val="Normal"/>
      <w:rPr>
        <w:rFonts w:ascii="Verdana" w:hAnsi="Verdana" w:cs="Verdana"/>
        <w:bCs/>
        <w:color w:val="1F497D"/>
        <w:sz w:val="20"/>
        <w:szCs w:val="20"/>
      </w:rPr>
    </w:pPr>
    <w:r>
      <w:rPr>
        <w:rFonts w:cs="Verdana" w:ascii="Verdana" w:hAnsi="Verdana"/>
        <w:bCs/>
        <w:color w:val="1F497D"/>
        <w:sz w:val="20"/>
        <w:szCs w:val="20"/>
      </w:rPr>
      <w:t>+91 9966005722</w:t>
    </w:r>
  </w:p>
  <w:p>
    <w:pPr>
      <w:pStyle w:val="Normal"/>
      <w:rPr/>
    </w:pPr>
    <w:bookmarkStart w:id="12" w:name="OLE_LINK14"/>
    <w:r>
      <w:rPr>
        <w:rFonts w:cs="Verdana" w:ascii="Verdana" w:hAnsi="Verdana"/>
        <w:bCs/>
        <w:color w:val="1F497D"/>
        <w:sz w:val="20"/>
        <w:szCs w:val="20"/>
      </w:rPr>
      <w:t>chilakalarushikumar@gmail.com</w:t>
    </w:r>
    <w:bookmarkEnd w:id="12"/>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Wingdings" w:hAnsi="Wingdings" w:cs="Wingdings" w:hint="default"/>
      </w:rPr>
    </w:lvl>
  </w:abstractNum>
  <w:abstractNum w:abstractNumId="3">
    <w:lvl w:ilvl="0">
      <w:start w:val="1"/>
      <w:numFmt w:val="bullet"/>
      <w:lvlText w:val=""/>
      <w:lvlJc w:val="left"/>
      <w:pPr>
        <w:tabs>
          <w:tab w:val="num" w:pos="0"/>
        </w:tabs>
        <w:ind w:left="900" w:hanging="360"/>
      </w:pPr>
      <w:rPr>
        <w:rFonts w:ascii="Wingdings" w:hAnsi="Wingdings" w:cs="Wingdings" w:hint="default"/>
        <w:sz w:val="20"/>
        <w:szCs w:val="20"/>
        <w:color w:val="BF0000"/>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ind w:left="2520" w:hanging="360"/>
      </w:pPr>
      <w:rPr>
        <w:rFonts w:ascii="Symbol" w:hAnsi="Symbol" w:cs="Symbol" w:hint="default"/>
        <w:sz w:val="16"/>
        <w:szCs w:val="16"/>
        <w:color w:val="00000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jc w:val="both"/>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color w:val="BF0000"/>
      <w:sz w:val="20"/>
      <w:szCs w:val="2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Wingdings" w:hAnsi="Wingdings" w:cs="Wingdings"/>
      <w:color w:val="BF0000"/>
      <w:sz w:val="20"/>
      <w:szCs w:val="2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color w:val="BF0000"/>
      <w:sz w:val="20"/>
      <w:szCs w:val="2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Wingdings" w:hAnsi="Wingdings" w:cs="Wingdings"/>
      <w:color w:val="BF0000"/>
      <w:sz w:val="20"/>
      <w:szCs w:val="2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color w:val="BF0000"/>
      <w:sz w:val="20"/>
      <w:szCs w:val="2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eastAsia="Times New Roman" w:cs="Times New Roman"/>
      <w:color w:val="000000"/>
      <w:sz w:val="20"/>
      <w:szCs w:val="20"/>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Wingdings" w:hAnsi="Wingdings" w:cs="Wingdings"/>
      <w:color w:val="BF0000"/>
      <w:sz w:val="20"/>
      <w:szCs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Wingdings" w:hAnsi="Wingdings" w:cs="Wingdings"/>
      <w:color w:val="BF0000"/>
      <w:sz w:val="20"/>
      <w:szCs w:val="2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color w:val="000000"/>
      <w:sz w:val="16"/>
      <w:szCs w:val="16"/>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Wingdings" w:hAnsi="Wingdings" w:cs="Wingdings"/>
      <w:color w:val="BF0000"/>
      <w:sz w:val="20"/>
      <w:szCs w:val="20"/>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rFonts w:ascii="Wingdings" w:hAnsi="Wingdings" w:cs="Wingdings"/>
      <w:color w:val="BF0000"/>
      <w:sz w:val="20"/>
      <w:szCs w:val="20"/>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Wingdings" w:hAnsi="Wingdings" w:cs="Wingdings"/>
      <w:color w:val="BF0000"/>
      <w:sz w:val="20"/>
      <w:szCs w:val="20"/>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Times New Roman"/>
      <w:color w:val="BF0000"/>
      <w:sz w:val="20"/>
      <w:szCs w:val="20"/>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CharChar3">
    <w:name w:val=" Char Char3"/>
    <w:qFormat/>
    <w:rPr>
      <w:rFonts w:ascii="Arial" w:hAnsi="Arial" w:cs="Arial"/>
      <w:b/>
      <w:bCs/>
      <w:kern w:val="2"/>
      <w:sz w:val="32"/>
      <w:szCs w:val="32"/>
      <w:lang w:val="en-US" w:bidi="ar-SA"/>
    </w:rPr>
  </w:style>
  <w:style w:type="character" w:styleId="TitleChar">
    <w:name w:val="Title Char"/>
    <w:qFormat/>
    <w:rPr>
      <w:rFonts w:ascii="Book Antiqua" w:hAnsi="Book Antiqua" w:cs="Arial"/>
      <w:bCs/>
      <w:sz w:val="40"/>
      <w:szCs w:val="40"/>
    </w:rPr>
  </w:style>
  <w:style w:type="character" w:styleId="spnmessagetext">
    <w:name w:val="spnmessagetext"/>
    <w:basedOn w:val="DefaultParagraphFont"/>
    <w:qFormat/>
    <w:rPr/>
  </w:style>
  <w:style w:type="character" w:styleId="FooterChar">
    <w:name w:val="Footer Char"/>
    <w:qFormat/>
    <w:rPr>
      <w:sz w:val="24"/>
      <w:szCs w:val="24"/>
    </w:rPr>
  </w:style>
  <w:style w:type="character" w:styleId="HeaderChar">
    <w:name w:val="Header Char"/>
    <w:basedOn w:val="DefaultParagraphFont"/>
    <w:qFormat/>
    <w:rPr/>
  </w:style>
  <w:style w:type="character" w:styleId="BalloonTextChar">
    <w:name w:val="Balloon Text Char"/>
    <w:qFormat/>
    <w:rPr>
      <w:rFonts w:ascii="Tahoma" w:hAnsi="Tahoma" w:cs="Tahoma"/>
      <w:sz w:val="16"/>
      <w:szCs w:val="16"/>
    </w:rPr>
  </w:style>
  <w:style w:type="character" w:styleId="Heading3Char">
    <w:name w:val="Heading 3 Char"/>
    <w:qFormat/>
    <w:rPr>
      <w:rFonts w:ascii="Arial" w:hAnsi="Arial" w:cs="Arial"/>
      <w:b/>
      <w:bCs/>
      <w:sz w:val="26"/>
      <w:szCs w:val="26"/>
    </w:rPr>
  </w:style>
  <w:style w:type="character" w:styleId="ListParagraphChar">
    <w:name w:val="List Paragraph Char"/>
    <w:qFormat/>
    <w:rPr>
      <w:sz w:val="24"/>
      <w:szCs w:val="24"/>
      <w:lang w:val="en-US"/>
    </w:rPr>
  </w:style>
  <w:style w:type="character" w:styleId="Emphasis">
    <w:name w:val="Emphasis"/>
    <w:qFormat/>
    <w:rPr>
      <w:i/>
      <w:iCs/>
    </w:rPr>
  </w:style>
  <w:style w:type="paragraph" w:styleId="Heading">
    <w:name w:val="Heading"/>
    <w:basedOn w:val="Normal"/>
    <w:next w:val="BodyText"/>
    <w:qFormat/>
    <w:pPr>
      <w:ind w:hanging="5400" w:left="5400" w:right="0"/>
      <w:jc w:val="center"/>
    </w:pPr>
    <w:rPr>
      <w:rFonts w:ascii="Book Antiqua" w:hAnsi="Book Antiqua" w:cs="Arial"/>
      <w:bCs/>
      <w:sz w:val="40"/>
      <w:szCs w:val="40"/>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r">
    <w:name w:val=" Char"/>
    <w:basedOn w:val="Normal"/>
    <w:qFormat/>
    <w:pPr>
      <w:spacing w:lineRule="exact" w:line="240" w:before="0" w:after="160"/>
    </w:pPr>
    <w:rPr>
      <w:rFonts w:ascii="Verdana" w:hAnsi="Verdana" w:cs="Arial"/>
      <w:sz w:val="22"/>
      <w:szCs w:val="20"/>
    </w:rPr>
  </w:style>
  <w:style w:type="paragraph" w:styleId="BodyTextIndent">
    <w:name w:val="Body Text Indent"/>
    <w:basedOn w:val="Normal"/>
    <w:pPr>
      <w:ind w:hanging="0" w:left="360" w:right="0"/>
      <w:jc w:val="both"/>
    </w:pPr>
    <w:rPr>
      <w:rFonts w:ascii="Arial" w:hAnsi="Arial" w:cs="Arial"/>
      <w:sz w:val="20"/>
      <w:szCs w:val="20"/>
      <w:lang w:val="en-GB"/>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0"/>
      <w:szCs w:val="20"/>
    </w:rPr>
  </w:style>
  <w:style w:type="paragraph" w:styleId="BodyText2">
    <w:name w:val="Body Text 2"/>
    <w:basedOn w:val="Normal"/>
    <w:qFormat/>
    <w:pPr>
      <w:spacing w:lineRule="auto" w:line="480" w:before="0" w:after="120"/>
    </w:pPr>
    <w:rPr/>
  </w:style>
  <w:style w:type="paragraph" w:styleId="Objective">
    <w:name w:val="Objective"/>
    <w:basedOn w:val="Normal"/>
    <w:next w:val="BodyText"/>
    <w:qFormat/>
    <w:pPr>
      <w:spacing w:lineRule="atLeast" w:line="220" w:before="60" w:after="220"/>
      <w:jc w:val="both"/>
    </w:pPr>
    <w:rPr>
      <w:rFonts w:ascii="Garamond" w:hAnsi="Garamond" w:cs="Garamond"/>
      <w:sz w:val="22"/>
      <w:szCs w:val="22"/>
    </w:rPr>
  </w:style>
  <w:style w:type="paragraph" w:styleId="WW-NormalWeb">
    <w:name w:val="WW-Normal (Web)"/>
    <w:basedOn w:val="Normal"/>
    <w:qFormat/>
    <w:pPr>
      <w:suppressAutoHyphens w:val="true"/>
      <w:spacing w:before="100" w:after="100"/>
    </w:pPr>
    <w:rPr>
      <w:szCs w:val="20"/>
      <w:lang w:eastAsia="en-IN"/>
    </w:rPr>
  </w:style>
  <w:style w:type="paragraph" w:styleId="CharCharCharChar">
    <w:name w:val=" Char Char Char Char"/>
    <w:basedOn w:val="Normal"/>
    <w:qFormat/>
    <w:pPr>
      <w:spacing w:lineRule="exact" w:line="240" w:before="0" w:after="160"/>
    </w:pPr>
    <w:rPr>
      <w:rFonts w:ascii="Verdana" w:hAnsi="Verdana" w:cs="Arial"/>
      <w:sz w:val="22"/>
      <w:szCs w:val="20"/>
    </w:rPr>
  </w:style>
  <w:style w:type="paragraph" w:styleId="ListParagraph">
    <w:name w:val="List Paragraph"/>
    <w:basedOn w:val="Normal"/>
    <w:qFormat/>
    <w:pPr>
      <w:ind w:hanging="0" w:left="720" w:right="0"/>
    </w:pPr>
    <w:rPr/>
  </w:style>
  <w:style w:type="paragraph" w:styleId="RMHeading1">
    <w:name w:val="RM Heading 1"/>
    <w:basedOn w:val="Normal"/>
    <w:qFormat/>
    <w:pPr>
      <w:widowControl w:val="false"/>
      <w:autoSpaceDE w:val="false"/>
      <w:spacing w:before="0" w:after="56"/>
    </w:pPr>
    <w:rPr>
      <w:rFonts w:ascii="Arial" w:hAnsi="Arial" w:cs="Arial"/>
      <w:b/>
      <w:bCs/>
      <w:sz w:val="22"/>
      <w:szCs w:val="22"/>
    </w:rPr>
  </w:style>
  <w:style w:type="paragraph" w:styleId="Arial">
    <w:name w:val="Arial"/>
    <w:basedOn w:val="Normal"/>
    <w:qFormat/>
    <w:pPr/>
    <w:rPr>
      <w:rFonts w:ascii="Tahoma" w:hAnsi="Tahoma" w:cs="Tahoma"/>
      <w:color w:val="000000"/>
      <w:sz w:val="20"/>
      <w:szCs w:val="20"/>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rFonts w:ascii="Tahoma" w:hAnsi="Tahoma" w:cs="Tahoma"/>
      <w:sz w:val="16"/>
      <w:szCs w:val="16"/>
    </w:rPr>
  </w:style>
  <w:style w:type="paragraph" w:styleId="Achievements">
    <w:name w:val="Achievements"/>
    <w:basedOn w:val="Normal"/>
    <w:qFormat/>
    <w:pPr>
      <w:numPr>
        <w:ilvl w:val="0"/>
        <w:numId w:val="5"/>
      </w:numPr>
      <w:spacing w:before="60" w:after="60"/>
    </w:pPr>
    <w:rPr>
      <w:rFonts w:ascii="Tahoma" w:hAnsi="Tahoma" w:cs="Tahoma"/>
      <w:spacing w:val="10"/>
      <w:sz w:val="16"/>
      <w:szCs w:val="16"/>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5e7865822126ca23430cac95025e2c55134f530e18705c4458440321091b5b58120e140b15475c5a0c4356014b4450530401195c1333471b1b1112485f5f0c594c011503504e1c180c571833471b1b0212415b5a0b515601514841481f0f2b561358191b15001043095e08541b140e445745455d5f08054c1b00100317130d5d5d551c120a120011474a411b1213471b1b1112465e540c584f110f16115c6&amp;docType=doc" TargetMode="External"/><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2020-01-09T18:06:00Z</dcterms:created>
  <dc:creator>gdonekal@dataintensity.com</dc:creator>
  <dc:description/>
  <cp:keywords/>
  <dc:language>en-IN</dc:language>
  <cp:lastModifiedBy>Sakthivel Kasinathan</cp:lastModifiedBy>
  <cp:lastPrinted>2014-05-12T07:19:00Z</cp:lastPrinted>
  <dcterms:modified xsi:type="dcterms:W3CDTF">2020-01-09T18:06:00Z</dcterms:modified>
  <cp:revision>2</cp:revision>
  <dc:subject/>
  <dc:title>ENRICH CV</dc:title>
</cp:coreProperties>
</file>