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lang w:val="en-IN"/>
        </w:rPr>
        <w:id w:val="-151460332"/>
        <w:docPartObj>
          <w:docPartGallery w:val="Cover Pages"/>
          <w:docPartUnique/>
        </w:docPartObj>
      </w:sdtPr>
      <w:sdtEndPr/>
      <w:sdtContent>
        <w:p w:rsidR="006B491C" w:rsidRDefault="006B491C">
          <w:pPr>
            <w:pStyle w:val="NoSpacing"/>
          </w:pPr>
          <w:r>
            <w:rPr>
              <w:noProof/>
              <w:lang w:val="en-IN" w:eastAsia="en-I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6B491C" w:rsidRDefault="006B491C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6B491C" w:rsidRDefault="006B491C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805906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B491C" w:rsidRDefault="00EB4599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100209032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05906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:rsidR="006B491C" w:rsidRDefault="006B491C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F740F4" w:rsidRDefault="00F740F4"/>
                              <w:p w:rsidR="006B491C" w:rsidRDefault="00805906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  <w:t>Bhuvaneshwari Kongathi</w:t>
                                </w:r>
                              </w:p>
                              <w:p w:rsidR="00805906" w:rsidRDefault="00805906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6B491C" w:rsidRDefault="00DA5720">
                          <w:pPr>
                            <w:pStyle w:val="NoSpacing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100209032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805906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:rsidR="006B491C" w:rsidRDefault="006B491C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:rsidR="00F740F4" w:rsidRDefault="00F740F4"/>
                        <w:p w:rsidR="006B491C" w:rsidRDefault="00805906">
                          <w:pPr>
                            <w:pStyle w:val="NoSpacing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  <w:t>Bhuvaneshwari Kongathi</w:t>
                          </w:r>
                        </w:p>
                        <w:p w:rsidR="00805906" w:rsidRDefault="00805906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B491C" w:rsidRPr="00331EB3" w:rsidRDefault="00EB4599" w:rsidP="00E708CC">
                                <w:pPr>
                                  <w:pStyle w:val="Title"/>
                                  <w:spacing w:before="120" w:after="120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alias w:val="Title"/>
                                    <w:tag w:val=""/>
                                    <w:id w:val="42762188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B491C" w:rsidRPr="00331EB3">
                                      <w:rPr>
                                        <w:rFonts w:asciiTheme="minorHAnsi" w:hAnsiTheme="minorHAnsi" w:cstheme="minorHAnsi"/>
                                        <w:b/>
                                      </w:rPr>
                                      <w:t>HealthGap India</w:t>
                                    </w:r>
                                  </w:sdtContent>
                                </w:sdt>
                              </w:p>
                              <w:p w:rsidR="006B491C" w:rsidRPr="00E708CC" w:rsidRDefault="00EB4599" w:rsidP="00805906">
                                <w:pPr>
                                  <w:rPr>
                                    <w:rFonts w:cstheme="minorHAns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Style w:val="SubtitleChar"/>
                                      <w:rFonts w:cstheme="minorHAnsi"/>
                                      <w:sz w:val="24"/>
                                      <w:szCs w:val="24"/>
                                    </w:rPr>
                                    <w:alias w:val="Subtitle"/>
                                    <w:tag w:val=""/>
                                    <w:id w:val="52367556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Style w:val="SubtitleChar"/>
                                    </w:rPr>
                                  </w:sdtEndPr>
                                  <w:sdtContent>
                                    <w:r w:rsidR="006B491C" w:rsidRPr="00E708CC">
                                      <w:rPr>
                                        <w:rStyle w:val="SubtitleChar"/>
                                        <w:rFonts w:cstheme="minorHAnsi"/>
                                        <w:sz w:val="24"/>
                                        <w:szCs w:val="24"/>
                                      </w:rPr>
                                      <w:t>District Healthcare &amp; Health Risk Analysis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:rsidR="006B491C" w:rsidRPr="00331EB3" w:rsidRDefault="00982903" w:rsidP="00E708CC">
                          <w:pPr>
                            <w:pStyle w:val="Title"/>
                            <w:spacing w:before="120" w:after="120"/>
                            <w:rPr>
                              <w:rFonts w:asciiTheme="minorHAnsi" w:hAnsiTheme="minorHAnsi" w:cstheme="minorHAnsi"/>
                            </w:rPr>
                          </w:pPr>
                          <w:sdt>
                            <w:sdtPr>
                              <w:rPr>
                                <w:rFonts w:asciiTheme="minorHAnsi" w:hAnsiTheme="minorHAnsi" w:cstheme="minorHAnsi"/>
                                <w:b/>
                              </w:rPr>
                              <w:alias w:val="Title"/>
                              <w:tag w:val=""/>
                              <w:id w:val="42762188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6B491C" w:rsidRPr="00331EB3">
                                <w:rPr>
                                  <w:rFonts w:asciiTheme="minorHAnsi" w:hAnsiTheme="minorHAnsi" w:cstheme="minorHAnsi"/>
                                  <w:b/>
                                </w:rPr>
                                <w:t>HealthGap India</w:t>
                              </w:r>
                            </w:sdtContent>
                          </w:sdt>
                        </w:p>
                        <w:p w:rsidR="006B491C" w:rsidRPr="00E708CC" w:rsidRDefault="00982903" w:rsidP="00805906">
                          <w:pPr>
                            <w:rPr>
                              <w:rFonts w:cstheme="minorHAnsi"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Style w:val="SubtitleChar"/>
                                <w:rFonts w:cstheme="minorHAnsi"/>
                                <w:sz w:val="24"/>
                                <w:szCs w:val="24"/>
                              </w:rPr>
                              <w:alias w:val="Subtitle"/>
                              <w:tag w:val=""/>
                              <w:id w:val="52367556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rStyle w:val="SubtitleChar"/>
                              </w:rPr>
                            </w:sdtEndPr>
                            <w:sdtContent>
                              <w:r w:rsidR="006B491C" w:rsidRPr="00E708CC">
                                <w:rPr>
                                  <w:rStyle w:val="SubtitleChar"/>
                                  <w:rFonts w:cstheme="minorHAnsi"/>
                                  <w:sz w:val="24"/>
                                  <w:szCs w:val="24"/>
                                </w:rPr>
                                <w:t>District Healthcare &amp; Health Risk Analysis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6B491C" w:rsidRDefault="006B491C"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2000250</wp:posOffset>
                    </wp:positionH>
                    <wp:positionV relativeFrom="paragraph">
                      <wp:posOffset>2124709</wp:posOffset>
                    </wp:positionV>
                    <wp:extent cx="3886200" cy="4505325"/>
                    <wp:effectExtent l="0" t="0" r="19050" b="2857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86200" cy="45053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:rsidR="006B491C" w:rsidRPr="00331EB3" w:rsidRDefault="006B491C" w:rsidP="00331EB3">
                                <w:pPr>
                                  <w:outlineLvl w:val="2"/>
                                  <w:rPr>
                                    <w:rFonts w:eastAsia="Times New Roman" w:cstheme="minorHAnsi"/>
                                    <w:b/>
                                    <w:bCs/>
                                    <w:sz w:val="28"/>
                                    <w:szCs w:val="28"/>
                                    <w:lang w:eastAsia="en-IN"/>
                                  </w:rPr>
                                </w:pPr>
                                <w:bookmarkStart w:id="0" w:name="_Toc239301947"/>
                                <w:r w:rsidRPr="00331EB3">
                                  <w:rPr>
                                    <w:rFonts w:eastAsia="Times New Roman" w:cstheme="minorHAnsi"/>
                                    <w:b/>
                                    <w:bCs/>
                                    <w:sz w:val="28"/>
                                    <w:szCs w:val="28"/>
                                    <w:lang w:eastAsia="en-IN"/>
                                  </w:rPr>
                                  <w:t>Objective</w:t>
                                </w:r>
                              </w:p>
                              <w:p w:rsidR="006B491C" w:rsidRPr="00331EB3" w:rsidRDefault="00264B13" w:rsidP="00331EB3">
                                <w:pPr>
                                  <w:rPr>
                                    <w:rFonts w:eastAsia="Times New Roman" w:cstheme="minorHAnsi"/>
                                    <w:sz w:val="28"/>
                                    <w:szCs w:val="28"/>
                                    <w:lang w:eastAsia="en-IN"/>
                                  </w:rPr>
                                </w:pPr>
                                <w:r w:rsidRPr="00331EB3">
                                  <w:rPr>
                                    <w:rFonts w:eastAsia="Times New Roman" w:cstheme="minorHAnsi"/>
                                    <w:sz w:val="28"/>
                                    <w:szCs w:val="28"/>
                                    <w:lang w:eastAsia="en-IN"/>
                                  </w:rPr>
                                  <w:t>Analysing</w:t>
                                </w:r>
                                <w:r w:rsidR="006B491C" w:rsidRPr="00331EB3">
                                  <w:rPr>
                                    <w:rFonts w:eastAsia="Times New Roman" w:cstheme="minorHAnsi"/>
                                    <w:sz w:val="28"/>
                                    <w:szCs w:val="28"/>
                                    <w:lang w:eastAsia="en-IN"/>
                                  </w:rPr>
                                  <w:t xml:space="preserve"> district-level healthcare indicators across India to identify healthcare gaps, benchmark district and state performance, and support data-driven prioritization.</w:t>
                                </w:r>
                              </w:p>
                              <w:p w:rsidR="006B491C" w:rsidRPr="00331EB3" w:rsidRDefault="006B491C" w:rsidP="00331EB3">
                                <w:pPr>
                                  <w:outlineLvl w:val="2"/>
                                  <w:rPr>
                                    <w:rFonts w:eastAsia="Times New Roman" w:cstheme="minorHAnsi"/>
                                    <w:b/>
                                    <w:bCs/>
                                    <w:sz w:val="28"/>
                                    <w:szCs w:val="28"/>
                                    <w:lang w:eastAsia="en-IN"/>
                                  </w:rPr>
                                </w:pPr>
                                <w:r w:rsidRPr="00331EB3">
                                  <w:rPr>
                                    <w:rFonts w:eastAsia="Times New Roman" w:cstheme="minorHAnsi"/>
                                    <w:b/>
                                    <w:bCs/>
                                    <w:sz w:val="28"/>
                                    <w:szCs w:val="28"/>
                                    <w:lang w:eastAsia="en-IN"/>
                                  </w:rPr>
                                  <w:t>Tools &amp; Technologies</w:t>
                                </w:r>
                              </w:p>
                              <w:p w:rsidR="006B491C" w:rsidRPr="00331EB3" w:rsidRDefault="006B491C" w:rsidP="00331EB3">
                                <w:pPr>
                                  <w:rPr>
                                    <w:rFonts w:eastAsia="Times New Roman" w:cstheme="minorHAnsi"/>
                                    <w:sz w:val="28"/>
                                    <w:szCs w:val="28"/>
                                    <w:lang w:eastAsia="en-IN"/>
                                  </w:rPr>
                                </w:pPr>
                                <w:r w:rsidRPr="00331EB3">
                                  <w:rPr>
                                    <w:rFonts w:eastAsia="Times New Roman" w:cstheme="minorHAnsi"/>
                                    <w:bCs/>
                                    <w:sz w:val="28"/>
                                    <w:szCs w:val="28"/>
                                    <w:lang w:eastAsia="en-IN"/>
                                  </w:rPr>
                                  <w:t>Python | Pandas | NumPy | Power Query | Power BI</w:t>
                                </w:r>
                                <w:r w:rsidR="00E708CC">
                                  <w:rPr>
                                    <w:rFonts w:eastAsia="Times New Roman" w:cstheme="minorHAnsi"/>
                                    <w:bCs/>
                                    <w:sz w:val="28"/>
                                    <w:szCs w:val="28"/>
                                    <w:lang w:eastAsia="en-IN"/>
                                  </w:rPr>
                                  <w:t xml:space="preserve"> | Git/GitHub</w:t>
                                </w:r>
                              </w:p>
                              <w:p w:rsidR="006B491C" w:rsidRPr="00331EB3" w:rsidRDefault="006B491C" w:rsidP="00331EB3">
                                <w:pPr>
                                  <w:outlineLvl w:val="2"/>
                                  <w:rPr>
                                    <w:rFonts w:eastAsia="Times New Roman" w:cstheme="minorHAnsi"/>
                                    <w:b/>
                                    <w:bCs/>
                                    <w:sz w:val="28"/>
                                    <w:szCs w:val="28"/>
                                    <w:lang w:eastAsia="en-IN"/>
                                  </w:rPr>
                                </w:pPr>
                                <w:r w:rsidRPr="00331EB3">
                                  <w:rPr>
                                    <w:rFonts w:eastAsia="Times New Roman" w:cstheme="minorHAnsi"/>
                                    <w:b/>
                                    <w:bCs/>
                                    <w:sz w:val="28"/>
                                    <w:szCs w:val="28"/>
                                    <w:lang w:eastAsia="en-IN"/>
                                  </w:rPr>
                                  <w:t>Analytical Scope</w:t>
                                </w:r>
                              </w:p>
                              <w:p w:rsidR="006B491C" w:rsidRPr="00331EB3" w:rsidRDefault="00E708CC" w:rsidP="00331EB3">
                                <w:pPr>
                                  <w:rPr>
                                    <w:rFonts w:eastAsia="Times New Roman" w:cstheme="minorHAnsi"/>
                                    <w:sz w:val="28"/>
                                    <w:szCs w:val="28"/>
                                    <w:lang w:eastAsia="en-IN"/>
                                  </w:rPr>
                                </w:pPr>
                                <w:r>
                                  <w:rPr>
                                    <w:rFonts w:eastAsia="Times New Roman" w:cstheme="minorHAnsi"/>
                                    <w:bCs/>
                                    <w:sz w:val="28"/>
                                    <w:szCs w:val="28"/>
                                    <w:lang w:eastAsia="en-IN"/>
                                  </w:rPr>
                                  <w:t xml:space="preserve">706 </w:t>
                                </w:r>
                                <w:r w:rsidR="006B491C" w:rsidRPr="00331EB3">
                                  <w:rPr>
                                    <w:rFonts w:eastAsia="Times New Roman" w:cstheme="minorHAnsi"/>
                                    <w:bCs/>
                                    <w:sz w:val="28"/>
                                    <w:szCs w:val="28"/>
                                    <w:lang w:eastAsia="en-IN"/>
                                  </w:rPr>
                                  <w:t>geographic records | 36 States/UTs | 107 indicators | 50 Core indicators | 42 scoring indicators</w:t>
                                </w:r>
                              </w:p>
                              <w:p w:rsidR="006B491C" w:rsidRPr="00331EB3" w:rsidRDefault="006B491C" w:rsidP="00331EB3">
                                <w:pPr>
                                  <w:rPr>
                                    <w:rFonts w:eastAsia="Times New Roman" w:cstheme="minorHAnsi"/>
                                    <w:sz w:val="28"/>
                                    <w:szCs w:val="28"/>
                                    <w:lang w:eastAsia="en-IN"/>
                                  </w:rPr>
                                </w:pPr>
                                <w:r w:rsidRPr="00331EB3">
                                  <w:rPr>
                                    <w:rFonts w:eastAsia="Times New Roman" w:cstheme="minorHAnsi"/>
                                    <w:b/>
                                    <w:bCs/>
                                    <w:sz w:val="28"/>
                                    <w:szCs w:val="28"/>
                                    <w:lang w:eastAsia="en-IN"/>
                                  </w:rPr>
                                  <w:t>Project Type:</w:t>
                                </w:r>
                                <w:r w:rsidRPr="00331EB3">
                                  <w:rPr>
                                    <w:rFonts w:eastAsia="Times New Roman" w:cstheme="minorHAnsi"/>
                                    <w:sz w:val="28"/>
                                    <w:szCs w:val="28"/>
                                    <w:lang w:eastAsia="en-IN"/>
                                  </w:rPr>
                                  <w:t xml:space="preserve"> End-to-End Data Analytics &amp; Business Intelligence</w:t>
                                </w:r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1" o:spid="_x0000_s1057" type="#_x0000_t202" style="position:absolute;left:0;text-align:left;margin-left:157.5pt;margin-top:167.3pt;width:306pt;height:354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" fillcolor="white [3201]" strokecolor="white [3212]" strokeweight=".5pt">
                    <v:textbox>
                      <w:txbxContent>
                        <w:p w:rsidR="006B491C" w:rsidRPr="00331EB3" w:rsidRDefault="006B491C" w:rsidP="00331EB3">
                          <w:pPr>
                            <w:outlineLvl w:val="2"/>
                            <w:rPr>
                              <w:rFonts w:eastAsia="Times New Roman" w:cstheme="minorHAnsi"/>
                              <w:b/>
                              <w:bCs/>
                              <w:sz w:val="28"/>
                              <w:szCs w:val="28"/>
                              <w:lang w:eastAsia="en-IN"/>
                            </w:rPr>
                          </w:pPr>
                          <w:bookmarkStart w:id="1" w:name="_Toc239301947"/>
                          <w:r w:rsidRPr="00331EB3">
                            <w:rPr>
                              <w:rFonts w:eastAsia="Times New Roman" w:cstheme="minorHAnsi"/>
                              <w:b/>
                              <w:bCs/>
                              <w:sz w:val="28"/>
                              <w:szCs w:val="28"/>
                              <w:lang w:eastAsia="en-IN"/>
                            </w:rPr>
                            <w:t>Objective</w:t>
                          </w:r>
                        </w:p>
                        <w:p w:rsidR="006B491C" w:rsidRPr="00331EB3" w:rsidRDefault="00264B13" w:rsidP="00331EB3">
                          <w:pPr>
                            <w:rPr>
                              <w:rFonts w:eastAsia="Times New Roman" w:cstheme="minorHAnsi"/>
                              <w:sz w:val="28"/>
                              <w:szCs w:val="28"/>
                              <w:lang w:eastAsia="en-IN"/>
                            </w:rPr>
                          </w:pPr>
                          <w:r w:rsidRPr="00331EB3">
                            <w:rPr>
                              <w:rFonts w:eastAsia="Times New Roman" w:cstheme="minorHAnsi"/>
                              <w:sz w:val="28"/>
                              <w:szCs w:val="28"/>
                              <w:lang w:eastAsia="en-IN"/>
                            </w:rPr>
                            <w:t>Analysing</w:t>
                          </w:r>
                          <w:r w:rsidR="006B491C" w:rsidRPr="00331EB3">
                            <w:rPr>
                              <w:rFonts w:eastAsia="Times New Roman" w:cstheme="minorHAnsi"/>
                              <w:sz w:val="28"/>
                              <w:szCs w:val="28"/>
                              <w:lang w:eastAsia="en-IN"/>
                            </w:rPr>
                            <w:t xml:space="preserve"> district-level healthcare indicators across India to identify healthcare gaps, benchmark district and state performance, and support data-driven prioritization.</w:t>
                          </w:r>
                        </w:p>
                        <w:p w:rsidR="006B491C" w:rsidRPr="00331EB3" w:rsidRDefault="006B491C" w:rsidP="00331EB3">
                          <w:pPr>
                            <w:outlineLvl w:val="2"/>
                            <w:rPr>
                              <w:rFonts w:eastAsia="Times New Roman" w:cstheme="minorHAnsi"/>
                              <w:b/>
                              <w:bCs/>
                              <w:sz w:val="28"/>
                              <w:szCs w:val="28"/>
                              <w:lang w:eastAsia="en-IN"/>
                            </w:rPr>
                          </w:pPr>
                          <w:r w:rsidRPr="00331EB3">
                            <w:rPr>
                              <w:rFonts w:eastAsia="Times New Roman" w:cstheme="minorHAnsi"/>
                              <w:b/>
                              <w:bCs/>
                              <w:sz w:val="28"/>
                              <w:szCs w:val="28"/>
                              <w:lang w:eastAsia="en-IN"/>
                            </w:rPr>
                            <w:t>Tools &amp; Technologies</w:t>
                          </w:r>
                        </w:p>
                        <w:p w:rsidR="006B491C" w:rsidRPr="00331EB3" w:rsidRDefault="006B491C" w:rsidP="00331EB3">
                          <w:pPr>
                            <w:rPr>
                              <w:rFonts w:eastAsia="Times New Roman" w:cstheme="minorHAnsi"/>
                              <w:sz w:val="28"/>
                              <w:szCs w:val="28"/>
                              <w:lang w:eastAsia="en-IN"/>
                            </w:rPr>
                          </w:pPr>
                          <w:r w:rsidRPr="00331EB3">
                            <w:rPr>
                              <w:rFonts w:eastAsia="Times New Roman" w:cstheme="minorHAnsi"/>
                              <w:bCs/>
                              <w:sz w:val="28"/>
                              <w:szCs w:val="28"/>
                              <w:lang w:eastAsia="en-IN"/>
                            </w:rPr>
                            <w:t>Python | Pandas | NumPy | Power Query | Power BI</w:t>
                          </w:r>
                          <w:r w:rsidR="00E708CC">
                            <w:rPr>
                              <w:rFonts w:eastAsia="Times New Roman" w:cstheme="minorHAnsi"/>
                              <w:bCs/>
                              <w:sz w:val="28"/>
                              <w:szCs w:val="28"/>
                              <w:lang w:eastAsia="en-IN"/>
                            </w:rPr>
                            <w:t xml:space="preserve"> | Git/GitHub</w:t>
                          </w:r>
                        </w:p>
                        <w:p w:rsidR="006B491C" w:rsidRPr="00331EB3" w:rsidRDefault="006B491C" w:rsidP="00331EB3">
                          <w:pPr>
                            <w:outlineLvl w:val="2"/>
                            <w:rPr>
                              <w:rFonts w:eastAsia="Times New Roman" w:cstheme="minorHAnsi"/>
                              <w:b/>
                              <w:bCs/>
                              <w:sz w:val="28"/>
                              <w:szCs w:val="28"/>
                              <w:lang w:eastAsia="en-IN"/>
                            </w:rPr>
                          </w:pPr>
                          <w:r w:rsidRPr="00331EB3">
                            <w:rPr>
                              <w:rFonts w:eastAsia="Times New Roman" w:cstheme="minorHAnsi"/>
                              <w:b/>
                              <w:bCs/>
                              <w:sz w:val="28"/>
                              <w:szCs w:val="28"/>
                              <w:lang w:eastAsia="en-IN"/>
                            </w:rPr>
                            <w:t>Analytical Scope</w:t>
                          </w:r>
                        </w:p>
                        <w:p w:rsidR="006B491C" w:rsidRPr="00331EB3" w:rsidRDefault="00E708CC" w:rsidP="00331EB3">
                          <w:pPr>
                            <w:rPr>
                              <w:rFonts w:eastAsia="Times New Roman" w:cstheme="minorHAnsi"/>
                              <w:sz w:val="28"/>
                              <w:szCs w:val="28"/>
                              <w:lang w:eastAsia="en-IN"/>
                            </w:rPr>
                          </w:pPr>
                          <w:r>
                            <w:rPr>
                              <w:rFonts w:eastAsia="Times New Roman" w:cstheme="minorHAnsi"/>
                              <w:bCs/>
                              <w:sz w:val="28"/>
                              <w:szCs w:val="28"/>
                              <w:lang w:eastAsia="en-IN"/>
                            </w:rPr>
                            <w:t xml:space="preserve">706 </w:t>
                          </w:r>
                          <w:r w:rsidR="006B491C" w:rsidRPr="00331EB3">
                            <w:rPr>
                              <w:rFonts w:eastAsia="Times New Roman" w:cstheme="minorHAnsi"/>
                              <w:bCs/>
                              <w:sz w:val="28"/>
                              <w:szCs w:val="28"/>
                              <w:lang w:eastAsia="en-IN"/>
                            </w:rPr>
                            <w:t>geographic records | 36 States/UTs | 107 indicators | 50 Core indicators | 42 scoring indicators</w:t>
                          </w:r>
                        </w:p>
                        <w:p w:rsidR="006B491C" w:rsidRPr="00331EB3" w:rsidRDefault="006B491C" w:rsidP="00331EB3">
                          <w:pPr>
                            <w:rPr>
                              <w:rFonts w:eastAsia="Times New Roman" w:cstheme="minorHAnsi"/>
                              <w:sz w:val="28"/>
                              <w:szCs w:val="28"/>
                              <w:lang w:eastAsia="en-IN"/>
                            </w:rPr>
                          </w:pPr>
                          <w:r w:rsidRPr="00331EB3">
                            <w:rPr>
                              <w:rFonts w:eastAsia="Times New Roman" w:cstheme="minorHAnsi"/>
                              <w:b/>
                              <w:bCs/>
                              <w:sz w:val="28"/>
                              <w:szCs w:val="28"/>
                              <w:lang w:eastAsia="en-IN"/>
                            </w:rPr>
                            <w:t>Project Type:</w:t>
                          </w:r>
                          <w:r w:rsidRPr="00331EB3">
                            <w:rPr>
                              <w:rFonts w:eastAsia="Times New Roman" w:cstheme="minorHAnsi"/>
                              <w:sz w:val="28"/>
                              <w:szCs w:val="28"/>
                              <w:lang w:eastAsia="en-IN"/>
                            </w:rPr>
                            <w:t xml:space="preserve"> End-to-End Data Analytics &amp; Business Intelligence</w:t>
                          </w:r>
                          <w:bookmarkEnd w:id="1"/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:rsidR="00BF3C74" w:rsidRDefault="00BF3C74" w:rsidP="00BF3C74">
      <w:pPr>
        <w:pStyle w:val="Heading1"/>
      </w:pPr>
      <w:r>
        <w:lastRenderedPageBreak/>
        <w:t>1. Business Problem</w:t>
      </w:r>
    </w:p>
    <w:p w:rsidR="00BF3C74" w:rsidRPr="007C4577" w:rsidRDefault="00BF3C74" w:rsidP="00221463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7C4577">
        <w:rPr>
          <w:rFonts w:asciiTheme="minorHAnsi" w:hAnsiTheme="minorHAnsi" w:cstheme="minorHAnsi"/>
        </w:rPr>
        <w:t>Healthcare performance can vary significantly between districts within the same state. State-level averages may therefore hide important local disparities and make it difficult to identify districts requiring greater attention.</w:t>
      </w:r>
    </w:p>
    <w:p w:rsidR="00BF3C74" w:rsidRPr="007C4577" w:rsidRDefault="00BF3C74" w:rsidP="00221463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7C4577">
        <w:rPr>
          <w:rFonts w:asciiTheme="minorHAnsi" w:hAnsiTheme="minorHAnsi" w:cstheme="minorHAnsi"/>
        </w:rPr>
        <w:t xml:space="preserve">The purpose of this project is to </w:t>
      </w:r>
      <w:r w:rsidR="00264B13" w:rsidRPr="007C4577">
        <w:rPr>
          <w:rFonts w:asciiTheme="minorHAnsi" w:hAnsiTheme="minorHAnsi" w:cstheme="minorHAnsi"/>
        </w:rPr>
        <w:t>analyse</w:t>
      </w:r>
      <w:r w:rsidRPr="007C4577">
        <w:rPr>
          <w:rFonts w:asciiTheme="minorHAnsi" w:hAnsiTheme="minorHAnsi" w:cstheme="minorHAnsi"/>
        </w:rPr>
        <w:t xml:space="preserve"> district-level healthcare indicators across India, identify healthcare gaps, develop a standardized HealthGap Score, rank districts and states/UTs, and provide actionable recommendations.</w:t>
      </w:r>
    </w:p>
    <w:p w:rsidR="00BF3C74" w:rsidRPr="007C4577" w:rsidRDefault="00BF3C74" w:rsidP="00221463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7C4577">
        <w:rPr>
          <w:rFonts w:asciiTheme="minorHAnsi" w:hAnsiTheme="minorHAnsi" w:cstheme="minorHAnsi"/>
        </w:rPr>
        <w:t>The project approaches the problem from a data analytics and business intelligence perspective by combining Python-based data preparation and analysis with Power Query and Power BI for transformation, modelling and interactive reporting.</w:t>
      </w:r>
    </w:p>
    <w:p w:rsidR="00BF3C74" w:rsidRDefault="00BF3C74" w:rsidP="00BF3C74">
      <w:pPr>
        <w:pStyle w:val="Heading2"/>
      </w:pPr>
      <w:r>
        <w:t>1.1 Business Question</w:t>
      </w:r>
    </w:p>
    <w:p w:rsidR="00BF3C74" w:rsidRPr="00244E4A" w:rsidRDefault="00BF3C74" w:rsidP="00221463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/>
        </w:rPr>
      </w:pPr>
      <w:r w:rsidRPr="00244E4A">
        <w:rPr>
          <w:rFonts w:asciiTheme="minorHAnsi" w:hAnsiTheme="minorHAnsi"/>
        </w:rPr>
        <w:t>Which districts and states/UTs show the largest healthcare gaps, what healthcare dimensions are associated with stronger or weaker performance, and where should decision-makers prioritize further investigation and intervention?</w:t>
      </w:r>
    </w:p>
    <w:p w:rsidR="00BF3C74" w:rsidRDefault="00BF3C74" w:rsidP="00BF3C74">
      <w:pPr>
        <w:pStyle w:val="Heading2"/>
      </w:pPr>
      <w:r>
        <w:t>1.2 Business Objectives</w:t>
      </w:r>
    </w:p>
    <w:p w:rsidR="00BF3C74" w:rsidRPr="00221463" w:rsidRDefault="00BF3C74" w:rsidP="00157CB5">
      <w:pPr>
        <w:pStyle w:val="NormalWeb"/>
        <w:numPr>
          <w:ilvl w:val="0"/>
          <w:numId w:val="5"/>
        </w:numPr>
        <w:spacing w:before="120" w:beforeAutospacing="0" w:after="120" w:afterAutospacing="0" w:line="276" w:lineRule="auto"/>
        <w:rPr>
          <w:rFonts w:asciiTheme="minorHAnsi" w:hAnsiTheme="minorHAnsi"/>
        </w:rPr>
      </w:pPr>
      <w:r w:rsidRPr="00221463">
        <w:rPr>
          <w:rFonts w:asciiTheme="minorHAnsi" w:hAnsiTheme="minorHAnsi"/>
        </w:rPr>
        <w:t>Identify healthcare performance gaps at district level.</w:t>
      </w:r>
    </w:p>
    <w:p w:rsidR="00BF3C74" w:rsidRPr="00221463" w:rsidRDefault="00BF3C74" w:rsidP="00157CB5">
      <w:pPr>
        <w:pStyle w:val="NormalWeb"/>
        <w:numPr>
          <w:ilvl w:val="0"/>
          <w:numId w:val="5"/>
        </w:numPr>
        <w:spacing w:before="120" w:beforeAutospacing="0" w:after="120" w:afterAutospacing="0" w:line="276" w:lineRule="auto"/>
        <w:rPr>
          <w:rFonts w:asciiTheme="minorHAnsi" w:hAnsiTheme="minorHAnsi"/>
        </w:rPr>
      </w:pPr>
      <w:r w:rsidRPr="00221463">
        <w:rPr>
          <w:rFonts w:asciiTheme="minorHAnsi" w:hAnsiTheme="minorHAnsi"/>
        </w:rPr>
        <w:t>Compare healthcare performance across states and UTs.</w:t>
      </w:r>
    </w:p>
    <w:p w:rsidR="00BF3C74" w:rsidRPr="00221463" w:rsidRDefault="00BF3C74" w:rsidP="00157CB5">
      <w:pPr>
        <w:pStyle w:val="NormalWeb"/>
        <w:numPr>
          <w:ilvl w:val="0"/>
          <w:numId w:val="5"/>
        </w:numPr>
        <w:spacing w:before="120" w:beforeAutospacing="0" w:after="120" w:afterAutospacing="0" w:line="276" w:lineRule="auto"/>
        <w:rPr>
          <w:rFonts w:asciiTheme="minorHAnsi" w:hAnsiTheme="minorHAnsi"/>
        </w:rPr>
      </w:pPr>
      <w:r w:rsidRPr="00221463">
        <w:rPr>
          <w:rFonts w:asciiTheme="minorHAnsi" w:hAnsiTheme="minorHAnsi"/>
        </w:rPr>
        <w:t>Develop a consistent KPI framework.</w:t>
      </w:r>
    </w:p>
    <w:p w:rsidR="00BF3C74" w:rsidRPr="00221463" w:rsidRDefault="00BF3C74" w:rsidP="00157CB5">
      <w:pPr>
        <w:pStyle w:val="NormalWeb"/>
        <w:numPr>
          <w:ilvl w:val="0"/>
          <w:numId w:val="5"/>
        </w:numPr>
        <w:spacing w:before="120" w:beforeAutospacing="0" w:after="120" w:afterAutospacing="0" w:line="276" w:lineRule="auto"/>
        <w:rPr>
          <w:rFonts w:asciiTheme="minorHAnsi" w:hAnsiTheme="minorHAnsi"/>
        </w:rPr>
      </w:pPr>
      <w:r w:rsidRPr="00221463">
        <w:rPr>
          <w:rFonts w:asciiTheme="minorHAnsi" w:hAnsiTheme="minorHAnsi"/>
        </w:rPr>
        <w:t>Create a composite HealthGap Score.</w:t>
      </w:r>
    </w:p>
    <w:p w:rsidR="00BF3C74" w:rsidRPr="00221463" w:rsidRDefault="00BF3C74" w:rsidP="00157CB5">
      <w:pPr>
        <w:pStyle w:val="NormalWeb"/>
        <w:numPr>
          <w:ilvl w:val="0"/>
          <w:numId w:val="5"/>
        </w:numPr>
        <w:spacing w:before="120" w:beforeAutospacing="0" w:after="120" w:afterAutospacing="0" w:line="276" w:lineRule="auto"/>
        <w:rPr>
          <w:rFonts w:asciiTheme="minorHAnsi" w:hAnsiTheme="minorHAnsi"/>
        </w:rPr>
      </w:pPr>
      <w:r w:rsidRPr="00221463">
        <w:rPr>
          <w:rFonts w:asciiTheme="minorHAnsi" w:hAnsiTheme="minorHAnsi"/>
        </w:rPr>
        <w:t>Rank districts based on the scoring framework.</w:t>
      </w:r>
    </w:p>
    <w:p w:rsidR="00BF3C74" w:rsidRPr="00221463" w:rsidRDefault="00BF3C74" w:rsidP="00157CB5">
      <w:pPr>
        <w:pStyle w:val="NormalWeb"/>
        <w:numPr>
          <w:ilvl w:val="0"/>
          <w:numId w:val="5"/>
        </w:numPr>
        <w:spacing w:before="120" w:beforeAutospacing="0" w:after="120" w:afterAutospacing="0" w:line="276" w:lineRule="auto"/>
        <w:rPr>
          <w:rFonts w:asciiTheme="minorHAnsi" w:hAnsiTheme="minorHAnsi"/>
        </w:rPr>
      </w:pPr>
      <w:r w:rsidRPr="00221463">
        <w:rPr>
          <w:rFonts w:asciiTheme="minorHAnsi" w:hAnsiTheme="minorHAnsi"/>
        </w:rPr>
        <w:t>Identify districts performing below their state average.</w:t>
      </w:r>
    </w:p>
    <w:p w:rsidR="00BF3C74" w:rsidRPr="00221463" w:rsidRDefault="00BF3C74" w:rsidP="00157CB5">
      <w:pPr>
        <w:pStyle w:val="NormalWeb"/>
        <w:numPr>
          <w:ilvl w:val="0"/>
          <w:numId w:val="5"/>
        </w:numPr>
        <w:spacing w:before="120" w:beforeAutospacing="0" w:after="120" w:afterAutospacing="0" w:line="276" w:lineRule="auto"/>
        <w:rPr>
          <w:rFonts w:asciiTheme="minorHAnsi" w:hAnsiTheme="minorHAnsi"/>
        </w:rPr>
      </w:pPr>
      <w:r w:rsidRPr="00221463">
        <w:rPr>
          <w:rFonts w:asciiTheme="minorHAnsi" w:hAnsiTheme="minorHAnsi"/>
        </w:rPr>
        <w:t>Examine relationships between selected healthcare indicators.</w:t>
      </w:r>
    </w:p>
    <w:p w:rsidR="00BF3C74" w:rsidRPr="00221463" w:rsidRDefault="00BF3C74" w:rsidP="00157CB5">
      <w:pPr>
        <w:pStyle w:val="NormalWeb"/>
        <w:numPr>
          <w:ilvl w:val="0"/>
          <w:numId w:val="5"/>
        </w:numPr>
        <w:spacing w:before="120" w:beforeAutospacing="0" w:after="120" w:afterAutospacing="0" w:line="276" w:lineRule="auto"/>
        <w:rPr>
          <w:rFonts w:asciiTheme="minorHAnsi" w:hAnsiTheme="minorHAnsi"/>
        </w:rPr>
      </w:pPr>
      <w:r w:rsidRPr="00221463">
        <w:rPr>
          <w:rFonts w:asciiTheme="minorHAnsi" w:hAnsiTheme="minorHAnsi"/>
        </w:rPr>
        <w:t>Build an interactive Power BI dashboard.</w:t>
      </w:r>
    </w:p>
    <w:p w:rsidR="00BF3C74" w:rsidRPr="00221463" w:rsidRDefault="00BF3C74" w:rsidP="00157CB5">
      <w:pPr>
        <w:pStyle w:val="NormalWeb"/>
        <w:numPr>
          <w:ilvl w:val="0"/>
          <w:numId w:val="5"/>
        </w:numPr>
        <w:spacing w:before="120" w:beforeAutospacing="0" w:after="120" w:afterAutospacing="0" w:line="276" w:lineRule="auto"/>
        <w:rPr>
          <w:rFonts w:asciiTheme="minorHAnsi" w:hAnsiTheme="minorHAnsi"/>
        </w:rPr>
      </w:pPr>
      <w:r w:rsidRPr="00221463">
        <w:rPr>
          <w:rFonts w:asciiTheme="minorHAnsi" w:hAnsiTheme="minorHAnsi"/>
        </w:rPr>
        <w:t>Translate analytical findings into actionable recommendations.</w:t>
      </w:r>
    </w:p>
    <w:p w:rsidR="00BF3C74" w:rsidRDefault="00BF3C74" w:rsidP="00BF3C74">
      <w:pPr>
        <w:pStyle w:val="Heading1"/>
      </w:pPr>
      <w:r>
        <w:t>2. Dataset &amp; Data Understanding</w:t>
      </w:r>
    </w:p>
    <w:p w:rsidR="00BF3C74" w:rsidRPr="00ED0B17" w:rsidRDefault="00BF3C74" w:rsidP="00ED0B1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/>
        </w:rPr>
      </w:pPr>
      <w:r w:rsidRPr="00ED0B17">
        <w:rPr>
          <w:rFonts w:asciiTheme="minorHAnsi" w:hAnsiTheme="minorHAnsi"/>
        </w:rPr>
        <w:t>The project uses district-level healthcare data containing 706 geographic records across 36 states/UTs.</w:t>
      </w:r>
    </w:p>
    <w:p w:rsidR="00BF3C74" w:rsidRPr="00ED0B17" w:rsidRDefault="00BF3C74" w:rsidP="00ED0B1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/>
        </w:rPr>
      </w:pPr>
      <w:r w:rsidRPr="00ED0B17">
        <w:rPr>
          <w:rFonts w:asciiTheme="minorHAnsi" w:hAnsiTheme="minorHAnsi"/>
        </w:rPr>
        <w:t>The initial dataset contained 107 healthcare indicators. These indicators were reviewed based on analytical relevance, data availability and suitability for the project objectives.</w:t>
      </w:r>
    </w:p>
    <w:p w:rsidR="00BF3C74" w:rsidRPr="00ED0B17" w:rsidRDefault="00BF3C74" w:rsidP="00ED0B1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/>
        </w:rPr>
      </w:pPr>
      <w:r w:rsidRPr="00ED0B17">
        <w:rPr>
          <w:rFonts w:asciiTheme="minorHAnsi" w:hAnsiTheme="minorHAnsi"/>
        </w:rPr>
        <w:t>The final analytical framework separates indicators into Core, Supporting and Excluded groups.</w:t>
      </w:r>
    </w:p>
    <w:p w:rsidR="00DB1C61" w:rsidRPr="00DB1C61" w:rsidRDefault="00BF3C74" w:rsidP="00DB1C61">
      <w:pPr>
        <w:pStyle w:val="Heading2"/>
        <w:spacing w:before="120" w:after="120"/>
      </w:pPr>
      <w:r>
        <w:lastRenderedPageBreak/>
        <w:t>2.1 Final Dataset Structure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532"/>
        <w:gridCol w:w="2617"/>
      </w:tblGrid>
      <w:tr w:rsidR="00BF3C74" w:rsidTr="00DB1C61">
        <w:trPr>
          <w:trHeight w:val="430"/>
          <w:jc w:val="center"/>
        </w:trPr>
        <w:tc>
          <w:tcPr>
            <w:tcW w:w="0" w:type="auto"/>
            <w:vAlign w:val="center"/>
            <w:hideMark/>
          </w:tcPr>
          <w:p w:rsidR="00BF3C74" w:rsidRDefault="00BF3C74" w:rsidP="00DB1C61">
            <w:pPr>
              <w:spacing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F3C74" w:rsidRDefault="00BF3C74" w:rsidP="00DB1C61">
            <w:pPr>
              <w:spacing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Records / Indicators</w:t>
            </w:r>
          </w:p>
        </w:tc>
      </w:tr>
      <w:tr w:rsidR="00BF3C74" w:rsidTr="00DB1C61">
        <w:trPr>
          <w:trHeight w:val="430"/>
          <w:jc w:val="center"/>
        </w:trPr>
        <w:tc>
          <w:tcPr>
            <w:tcW w:w="0" w:type="auto"/>
            <w:vAlign w:val="center"/>
            <w:hideMark/>
          </w:tcPr>
          <w:p w:rsidR="00BF3C74" w:rsidRDefault="00BF3C74" w:rsidP="00DB1C61">
            <w:pPr>
              <w:spacing w:after="120"/>
              <w:jc w:val="center"/>
            </w:pPr>
            <w:r>
              <w:t>Geographic records</w:t>
            </w:r>
          </w:p>
        </w:tc>
        <w:tc>
          <w:tcPr>
            <w:tcW w:w="0" w:type="auto"/>
            <w:vAlign w:val="center"/>
            <w:hideMark/>
          </w:tcPr>
          <w:p w:rsidR="00BF3C74" w:rsidRDefault="00BF3C74" w:rsidP="00DB1C61">
            <w:pPr>
              <w:spacing w:after="120"/>
              <w:jc w:val="center"/>
            </w:pPr>
            <w:r>
              <w:t>706</w:t>
            </w:r>
          </w:p>
        </w:tc>
      </w:tr>
      <w:tr w:rsidR="00BF3C74" w:rsidTr="00DB1C61">
        <w:trPr>
          <w:trHeight w:val="430"/>
          <w:jc w:val="center"/>
        </w:trPr>
        <w:tc>
          <w:tcPr>
            <w:tcW w:w="0" w:type="auto"/>
            <w:vAlign w:val="center"/>
            <w:hideMark/>
          </w:tcPr>
          <w:p w:rsidR="00BF3C74" w:rsidRDefault="00BF3C74" w:rsidP="00DB1C61">
            <w:pPr>
              <w:spacing w:after="120"/>
              <w:jc w:val="center"/>
            </w:pPr>
            <w:r>
              <w:t>States/UTs</w:t>
            </w:r>
          </w:p>
        </w:tc>
        <w:tc>
          <w:tcPr>
            <w:tcW w:w="0" w:type="auto"/>
            <w:vAlign w:val="center"/>
            <w:hideMark/>
          </w:tcPr>
          <w:p w:rsidR="00BF3C74" w:rsidRDefault="00BF3C74" w:rsidP="00DB1C61">
            <w:pPr>
              <w:spacing w:after="120"/>
              <w:jc w:val="center"/>
            </w:pPr>
            <w:r>
              <w:t>36</w:t>
            </w:r>
          </w:p>
        </w:tc>
      </w:tr>
      <w:tr w:rsidR="00BF3C74" w:rsidTr="00DB1C61">
        <w:trPr>
          <w:trHeight w:val="430"/>
          <w:jc w:val="center"/>
        </w:trPr>
        <w:tc>
          <w:tcPr>
            <w:tcW w:w="0" w:type="auto"/>
            <w:vAlign w:val="center"/>
            <w:hideMark/>
          </w:tcPr>
          <w:p w:rsidR="00BF3C74" w:rsidRDefault="00BF3C74" w:rsidP="00DB1C61">
            <w:pPr>
              <w:spacing w:after="120"/>
              <w:jc w:val="center"/>
            </w:pPr>
            <w:r>
              <w:t>Total indicators</w:t>
            </w:r>
          </w:p>
        </w:tc>
        <w:tc>
          <w:tcPr>
            <w:tcW w:w="0" w:type="auto"/>
            <w:vAlign w:val="center"/>
            <w:hideMark/>
          </w:tcPr>
          <w:p w:rsidR="00BF3C74" w:rsidRDefault="00BF3C74" w:rsidP="00DB1C61">
            <w:pPr>
              <w:spacing w:after="120"/>
              <w:jc w:val="center"/>
            </w:pPr>
            <w:r>
              <w:t>107</w:t>
            </w:r>
          </w:p>
        </w:tc>
      </w:tr>
      <w:tr w:rsidR="00BF3C74" w:rsidTr="00DB1C61">
        <w:trPr>
          <w:trHeight w:val="442"/>
          <w:jc w:val="center"/>
        </w:trPr>
        <w:tc>
          <w:tcPr>
            <w:tcW w:w="0" w:type="auto"/>
            <w:vAlign w:val="center"/>
            <w:hideMark/>
          </w:tcPr>
          <w:p w:rsidR="00BF3C74" w:rsidRDefault="00BF3C74" w:rsidP="00DB1C61">
            <w:pPr>
              <w:spacing w:after="120"/>
              <w:jc w:val="center"/>
            </w:pPr>
            <w:r>
              <w:t>Core indicators</w:t>
            </w:r>
          </w:p>
        </w:tc>
        <w:tc>
          <w:tcPr>
            <w:tcW w:w="0" w:type="auto"/>
            <w:vAlign w:val="center"/>
            <w:hideMark/>
          </w:tcPr>
          <w:p w:rsidR="00BF3C74" w:rsidRDefault="00BF3C74" w:rsidP="00DB1C61">
            <w:pPr>
              <w:spacing w:after="120"/>
              <w:jc w:val="center"/>
            </w:pPr>
            <w:r>
              <w:t>50</w:t>
            </w:r>
          </w:p>
        </w:tc>
      </w:tr>
      <w:tr w:rsidR="00BF3C74" w:rsidTr="00DB1C61">
        <w:trPr>
          <w:trHeight w:val="419"/>
          <w:jc w:val="center"/>
        </w:trPr>
        <w:tc>
          <w:tcPr>
            <w:tcW w:w="0" w:type="auto"/>
            <w:vAlign w:val="center"/>
            <w:hideMark/>
          </w:tcPr>
          <w:p w:rsidR="00BF3C74" w:rsidRDefault="00BF3C74" w:rsidP="00DB1C61">
            <w:pPr>
              <w:spacing w:after="120"/>
              <w:jc w:val="center"/>
            </w:pPr>
            <w:r>
              <w:t>Scoring indicators</w:t>
            </w:r>
          </w:p>
        </w:tc>
        <w:tc>
          <w:tcPr>
            <w:tcW w:w="0" w:type="auto"/>
            <w:vAlign w:val="center"/>
            <w:hideMark/>
          </w:tcPr>
          <w:p w:rsidR="00BF3C74" w:rsidRDefault="00BF3C74" w:rsidP="00DB1C61">
            <w:pPr>
              <w:spacing w:after="120"/>
              <w:jc w:val="center"/>
            </w:pPr>
            <w:r>
              <w:t>42</w:t>
            </w:r>
          </w:p>
        </w:tc>
      </w:tr>
    </w:tbl>
    <w:p w:rsidR="00BF3C74" w:rsidRPr="00ED0B17" w:rsidRDefault="00BF3C74" w:rsidP="00ED0B1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/>
        </w:rPr>
      </w:pPr>
      <w:r w:rsidRPr="00ED0B17">
        <w:rPr>
          <w:rFonts w:asciiTheme="minorHAnsi" w:hAnsiTheme="minorHAnsi"/>
        </w:rPr>
        <w:t>The final Core dataset contains the indicators used for the main HealthGap analysis.</w:t>
      </w:r>
    </w:p>
    <w:p w:rsidR="00244E4A" w:rsidRPr="00244E4A" w:rsidRDefault="00BF3C74" w:rsidP="00244E4A">
      <w:pPr>
        <w:pStyle w:val="Heading2"/>
      </w:pPr>
      <w:r w:rsidRPr="00244E4A">
        <w:t xml:space="preserve">2.2 </w:t>
      </w:r>
      <w:r w:rsidR="00244E4A" w:rsidRPr="00244E4A">
        <w:t>Dataset characteristics</w:t>
      </w:r>
    </w:p>
    <w:p w:rsidR="00244E4A" w:rsidRPr="00244E4A" w:rsidRDefault="00244E4A" w:rsidP="00244E4A">
      <w:pPr>
        <w:numPr>
          <w:ilvl w:val="0"/>
          <w:numId w:val="28"/>
        </w:numPr>
        <w:ind w:right="0"/>
        <w:rPr>
          <w:rFonts w:eastAsia="Times New Roman" w:cstheme="minorHAnsi"/>
          <w:sz w:val="24"/>
          <w:szCs w:val="24"/>
          <w:lang w:eastAsia="en-IN"/>
        </w:rPr>
      </w:pPr>
      <w:r w:rsidRPr="00244E4A">
        <w:rPr>
          <w:rFonts w:eastAsia="Times New Roman" w:cstheme="minorHAnsi"/>
          <w:sz w:val="24"/>
          <w:szCs w:val="24"/>
          <w:lang w:eastAsia="en-IN"/>
        </w:rPr>
        <w:t>Records: 706 districts</w:t>
      </w:r>
    </w:p>
    <w:p w:rsidR="00244E4A" w:rsidRPr="00244E4A" w:rsidRDefault="00244E4A" w:rsidP="00244E4A">
      <w:pPr>
        <w:numPr>
          <w:ilvl w:val="0"/>
          <w:numId w:val="28"/>
        </w:numPr>
        <w:ind w:right="0"/>
        <w:rPr>
          <w:rFonts w:eastAsia="Times New Roman" w:cstheme="minorHAnsi"/>
          <w:sz w:val="24"/>
          <w:szCs w:val="24"/>
          <w:lang w:eastAsia="en-IN"/>
        </w:rPr>
      </w:pPr>
      <w:r w:rsidRPr="00244E4A">
        <w:rPr>
          <w:rFonts w:eastAsia="Times New Roman" w:cstheme="minorHAnsi"/>
          <w:sz w:val="24"/>
          <w:szCs w:val="24"/>
          <w:lang w:eastAsia="en-IN"/>
        </w:rPr>
        <w:t>States/UTs: 36</w:t>
      </w:r>
    </w:p>
    <w:p w:rsidR="00244E4A" w:rsidRPr="00244E4A" w:rsidRDefault="00244E4A" w:rsidP="00244E4A">
      <w:pPr>
        <w:numPr>
          <w:ilvl w:val="0"/>
          <w:numId w:val="28"/>
        </w:numPr>
        <w:ind w:right="0"/>
        <w:rPr>
          <w:rFonts w:eastAsia="Times New Roman" w:cstheme="minorHAnsi"/>
          <w:sz w:val="24"/>
          <w:szCs w:val="24"/>
          <w:lang w:eastAsia="en-IN"/>
        </w:rPr>
      </w:pPr>
      <w:r w:rsidRPr="00244E4A">
        <w:rPr>
          <w:rFonts w:eastAsia="Times New Roman" w:cstheme="minorHAnsi"/>
          <w:sz w:val="24"/>
          <w:szCs w:val="24"/>
          <w:lang w:eastAsia="en-IN"/>
        </w:rPr>
        <w:t>Original columns: 109</w:t>
      </w:r>
    </w:p>
    <w:p w:rsidR="00244E4A" w:rsidRPr="00244E4A" w:rsidRDefault="00244E4A" w:rsidP="00244E4A">
      <w:pPr>
        <w:numPr>
          <w:ilvl w:val="0"/>
          <w:numId w:val="28"/>
        </w:numPr>
        <w:ind w:right="0"/>
        <w:rPr>
          <w:rFonts w:eastAsia="Times New Roman" w:cstheme="minorHAnsi"/>
          <w:sz w:val="24"/>
          <w:szCs w:val="24"/>
          <w:lang w:eastAsia="en-IN"/>
        </w:rPr>
      </w:pPr>
      <w:r w:rsidRPr="00244E4A">
        <w:rPr>
          <w:rFonts w:eastAsia="Times New Roman" w:cstheme="minorHAnsi"/>
          <w:sz w:val="24"/>
          <w:szCs w:val="24"/>
          <w:lang w:eastAsia="en-IN"/>
        </w:rPr>
        <w:t>Analytical indicators: 107</w:t>
      </w:r>
    </w:p>
    <w:p w:rsidR="00244E4A" w:rsidRPr="00244E4A" w:rsidRDefault="00244E4A" w:rsidP="00244E4A">
      <w:pPr>
        <w:numPr>
          <w:ilvl w:val="0"/>
          <w:numId w:val="28"/>
        </w:numPr>
        <w:ind w:right="0"/>
        <w:rPr>
          <w:rFonts w:eastAsia="Times New Roman" w:cstheme="minorHAnsi"/>
          <w:sz w:val="24"/>
          <w:szCs w:val="24"/>
          <w:lang w:eastAsia="en-IN"/>
        </w:rPr>
      </w:pPr>
      <w:r w:rsidRPr="00244E4A">
        <w:rPr>
          <w:rFonts w:eastAsia="Times New Roman" w:cstheme="minorHAnsi"/>
          <w:sz w:val="24"/>
          <w:szCs w:val="24"/>
          <w:lang w:eastAsia="en-IN"/>
        </w:rPr>
        <w:t>Grain: One record per district within a State/UT</w:t>
      </w:r>
    </w:p>
    <w:p w:rsidR="00244E4A" w:rsidRPr="00244E4A" w:rsidRDefault="00244E4A" w:rsidP="00244E4A">
      <w:pPr>
        <w:numPr>
          <w:ilvl w:val="0"/>
          <w:numId w:val="28"/>
        </w:numPr>
        <w:ind w:right="0"/>
        <w:rPr>
          <w:rFonts w:eastAsia="Times New Roman" w:cstheme="minorHAnsi"/>
          <w:sz w:val="24"/>
          <w:szCs w:val="24"/>
          <w:lang w:eastAsia="en-IN"/>
        </w:rPr>
      </w:pPr>
      <w:r w:rsidRPr="00244E4A">
        <w:rPr>
          <w:rFonts w:eastAsia="Times New Roman" w:cstheme="minorHAnsi"/>
          <w:sz w:val="24"/>
          <w:szCs w:val="24"/>
          <w:lang w:eastAsia="en-IN"/>
        </w:rPr>
        <w:t>Geographic dimensions: State/UT and District</w:t>
      </w:r>
    </w:p>
    <w:p w:rsidR="00BF3C74" w:rsidRPr="00244E4A" w:rsidRDefault="00804BBF" w:rsidP="006C431E">
      <w:pPr>
        <w:numPr>
          <w:ilvl w:val="0"/>
          <w:numId w:val="28"/>
        </w:numPr>
        <w:ind w:right="0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Source:</w:t>
      </w:r>
      <w:r w:rsidR="00244E4A" w:rsidRPr="00244E4A">
        <w:rPr>
          <w:rFonts w:eastAsia="Times New Roman" w:cstheme="minorHAnsi"/>
          <w:sz w:val="24"/>
          <w:szCs w:val="24"/>
          <w:lang w:eastAsia="en-IN"/>
        </w:rPr>
        <w:t xml:space="preserve"> NFHS-5 district-level data</w:t>
      </w:r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6C431E">
        <w:rPr>
          <w:rFonts w:eastAsia="Times New Roman" w:cstheme="minorHAnsi"/>
          <w:sz w:val="24"/>
          <w:szCs w:val="24"/>
          <w:lang w:eastAsia="en-IN"/>
        </w:rPr>
        <w:t>(</w:t>
      </w:r>
      <w:hyperlink r:id="rId8" w:history="1">
        <w:r w:rsidR="006C431E" w:rsidRPr="006C431E">
          <w:rPr>
            <w:rStyle w:val="Hyperlink"/>
            <w:rFonts w:eastAsia="Times New Roman" w:cstheme="minorHAnsi"/>
            <w:sz w:val="24"/>
            <w:szCs w:val="24"/>
            <w:lang w:eastAsia="en-IN"/>
          </w:rPr>
          <w:t>LINK</w:t>
        </w:r>
      </w:hyperlink>
      <w:r w:rsidR="006C431E">
        <w:rPr>
          <w:rFonts w:eastAsia="Times New Roman" w:cstheme="minorHAnsi"/>
          <w:sz w:val="24"/>
          <w:szCs w:val="24"/>
          <w:lang w:eastAsia="en-IN"/>
        </w:rPr>
        <w:t>)</w:t>
      </w:r>
    </w:p>
    <w:p w:rsidR="00BF3C74" w:rsidRDefault="00BF3C74" w:rsidP="00BF3C74">
      <w:pPr>
        <w:pStyle w:val="Heading1"/>
      </w:pPr>
      <w:r>
        <w:t>3. Data Cleaning &amp; Preparation</w:t>
      </w:r>
    </w:p>
    <w:p w:rsidR="00BF3C74" w:rsidRPr="00ED0B17" w:rsidRDefault="00BF3C74" w:rsidP="007B24EB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/>
        </w:rPr>
      </w:pPr>
      <w:r w:rsidRPr="00ED0B17">
        <w:rPr>
          <w:rFonts w:asciiTheme="minorHAnsi" w:hAnsiTheme="minorHAnsi"/>
        </w:rPr>
        <w:t>Data preparation was performed in Python using Pandas and NumPy.</w:t>
      </w:r>
    </w:p>
    <w:p w:rsidR="00BF3C74" w:rsidRPr="00ED0B17" w:rsidRDefault="00BF3C74" w:rsidP="007B24EB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/>
        </w:rPr>
      </w:pPr>
      <w:r w:rsidRPr="00ED0B17">
        <w:rPr>
          <w:rFonts w:asciiTheme="minorHAnsi" w:hAnsiTheme="minorHAnsi"/>
        </w:rPr>
        <w:t>The objective was to create a reliable analytical dataset while preserving the original geographic information and distinguishing genuine values from encoded unavailable or suppressed observations.</w:t>
      </w:r>
    </w:p>
    <w:p w:rsidR="00BF3C74" w:rsidRDefault="00BF3C74" w:rsidP="00BF3C74">
      <w:pPr>
        <w:pStyle w:val="Heading2"/>
      </w:pPr>
      <w:r>
        <w:t>3.1 Data Profiling</w:t>
      </w:r>
    </w:p>
    <w:p w:rsidR="00BF3C74" w:rsidRPr="00ED0B17" w:rsidRDefault="00BF3C74" w:rsidP="00CF0149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/>
        </w:rPr>
      </w:pPr>
      <w:r w:rsidRPr="00ED0B17">
        <w:rPr>
          <w:rFonts w:asciiTheme="minorHAnsi" w:hAnsiTheme="minorHAnsi"/>
        </w:rPr>
        <w:t>The dataset was profiled for:</w:t>
      </w:r>
    </w:p>
    <w:p w:rsidR="00BF3C74" w:rsidRPr="00ED0B17" w:rsidRDefault="00BF3C74" w:rsidP="00157CB5">
      <w:pPr>
        <w:pStyle w:val="NormalWeb"/>
        <w:numPr>
          <w:ilvl w:val="0"/>
          <w:numId w:val="6"/>
        </w:numPr>
        <w:spacing w:before="120" w:beforeAutospacing="0" w:after="120" w:afterAutospacing="0" w:line="276" w:lineRule="auto"/>
        <w:ind w:right="284"/>
        <w:jc w:val="both"/>
        <w:rPr>
          <w:rFonts w:asciiTheme="minorHAnsi" w:hAnsiTheme="minorHAnsi"/>
        </w:rPr>
      </w:pPr>
      <w:r w:rsidRPr="00ED0B17">
        <w:rPr>
          <w:rFonts w:asciiTheme="minorHAnsi" w:hAnsiTheme="minorHAnsi"/>
        </w:rPr>
        <w:t>Number of rows and columns</w:t>
      </w:r>
    </w:p>
    <w:p w:rsidR="00BF3C74" w:rsidRPr="00ED0B17" w:rsidRDefault="00BF3C74" w:rsidP="00157CB5">
      <w:pPr>
        <w:pStyle w:val="NormalWeb"/>
        <w:numPr>
          <w:ilvl w:val="0"/>
          <w:numId w:val="6"/>
        </w:numPr>
        <w:spacing w:before="120" w:beforeAutospacing="0" w:after="120" w:afterAutospacing="0" w:line="276" w:lineRule="auto"/>
        <w:ind w:right="284"/>
        <w:jc w:val="both"/>
        <w:rPr>
          <w:rFonts w:asciiTheme="minorHAnsi" w:hAnsiTheme="minorHAnsi"/>
        </w:rPr>
      </w:pPr>
      <w:r w:rsidRPr="00ED0B17">
        <w:rPr>
          <w:rFonts w:asciiTheme="minorHAnsi" w:hAnsiTheme="minorHAnsi"/>
        </w:rPr>
        <w:t>Data types</w:t>
      </w:r>
    </w:p>
    <w:p w:rsidR="00BF3C74" w:rsidRPr="00ED0B17" w:rsidRDefault="00BF3C74" w:rsidP="00157CB5">
      <w:pPr>
        <w:pStyle w:val="NormalWeb"/>
        <w:numPr>
          <w:ilvl w:val="0"/>
          <w:numId w:val="6"/>
        </w:numPr>
        <w:spacing w:before="120" w:beforeAutospacing="0" w:after="120" w:afterAutospacing="0" w:line="276" w:lineRule="auto"/>
        <w:ind w:right="284"/>
        <w:jc w:val="both"/>
        <w:rPr>
          <w:rFonts w:asciiTheme="minorHAnsi" w:hAnsiTheme="minorHAnsi"/>
        </w:rPr>
      </w:pPr>
      <w:r w:rsidRPr="00ED0B17">
        <w:rPr>
          <w:rFonts w:asciiTheme="minorHAnsi" w:hAnsiTheme="minorHAnsi"/>
        </w:rPr>
        <w:t>Missing values</w:t>
      </w:r>
    </w:p>
    <w:p w:rsidR="00BF3C74" w:rsidRPr="00ED0B17" w:rsidRDefault="00BF3C74" w:rsidP="00157CB5">
      <w:pPr>
        <w:pStyle w:val="NormalWeb"/>
        <w:numPr>
          <w:ilvl w:val="0"/>
          <w:numId w:val="6"/>
        </w:numPr>
        <w:spacing w:before="120" w:beforeAutospacing="0" w:after="120" w:afterAutospacing="0" w:line="276" w:lineRule="auto"/>
        <w:ind w:right="284"/>
        <w:jc w:val="both"/>
        <w:rPr>
          <w:rFonts w:asciiTheme="minorHAnsi" w:hAnsiTheme="minorHAnsi"/>
        </w:rPr>
      </w:pPr>
      <w:r w:rsidRPr="00ED0B17">
        <w:rPr>
          <w:rFonts w:asciiTheme="minorHAnsi" w:hAnsiTheme="minorHAnsi"/>
        </w:rPr>
        <w:t>Duplicate rows</w:t>
      </w:r>
      <w:r w:rsidR="007B24EB">
        <w:rPr>
          <w:rFonts w:asciiTheme="minorHAnsi" w:hAnsiTheme="minorHAnsi"/>
        </w:rPr>
        <w:t>/columns</w:t>
      </w:r>
    </w:p>
    <w:p w:rsidR="00BF3C74" w:rsidRPr="00ED0B17" w:rsidRDefault="00BF3C74" w:rsidP="00157CB5">
      <w:pPr>
        <w:pStyle w:val="NormalWeb"/>
        <w:numPr>
          <w:ilvl w:val="0"/>
          <w:numId w:val="6"/>
        </w:numPr>
        <w:spacing w:before="120" w:beforeAutospacing="0" w:after="120" w:afterAutospacing="0" w:line="276" w:lineRule="auto"/>
        <w:ind w:right="284"/>
        <w:jc w:val="both"/>
        <w:rPr>
          <w:rFonts w:asciiTheme="minorHAnsi" w:hAnsiTheme="minorHAnsi"/>
        </w:rPr>
      </w:pPr>
      <w:r w:rsidRPr="00ED0B17">
        <w:rPr>
          <w:rFonts w:asciiTheme="minorHAnsi" w:hAnsiTheme="minorHAnsi"/>
        </w:rPr>
        <w:t>Unique geographic keys</w:t>
      </w:r>
    </w:p>
    <w:p w:rsidR="00BF3C74" w:rsidRPr="00ED0B17" w:rsidRDefault="00BF3C74" w:rsidP="00157CB5">
      <w:pPr>
        <w:pStyle w:val="NormalWeb"/>
        <w:numPr>
          <w:ilvl w:val="0"/>
          <w:numId w:val="6"/>
        </w:numPr>
        <w:spacing w:before="120" w:beforeAutospacing="0" w:after="120" w:afterAutospacing="0" w:line="276" w:lineRule="auto"/>
        <w:ind w:right="284"/>
        <w:jc w:val="both"/>
        <w:rPr>
          <w:rFonts w:asciiTheme="minorHAnsi" w:hAnsiTheme="minorHAnsi"/>
        </w:rPr>
      </w:pPr>
      <w:r w:rsidRPr="00ED0B17">
        <w:rPr>
          <w:rFonts w:asciiTheme="minorHAnsi" w:hAnsiTheme="minorHAnsi"/>
        </w:rPr>
        <w:t>Encoded special values</w:t>
      </w:r>
    </w:p>
    <w:p w:rsidR="00BF3C74" w:rsidRDefault="00BF3C74" w:rsidP="00BF3C74">
      <w:pPr>
        <w:pStyle w:val="Heading2"/>
      </w:pPr>
      <w:r>
        <w:lastRenderedPageBreak/>
        <w:t>3.2 Encoded Values</w:t>
      </w:r>
    </w:p>
    <w:p w:rsidR="00660FA6" w:rsidRPr="00660FA6" w:rsidRDefault="00660FA6" w:rsidP="00ED0B17">
      <w:pPr>
        <w:rPr>
          <w:rFonts w:eastAsia="Times New Roman" w:cs="Times New Roman"/>
          <w:sz w:val="24"/>
          <w:szCs w:val="24"/>
          <w:lang w:eastAsia="en-IN"/>
        </w:rPr>
      </w:pPr>
      <w:r w:rsidRPr="00660FA6">
        <w:rPr>
          <w:rFonts w:eastAsia="Times New Roman" w:cs="Times New Roman"/>
          <w:sz w:val="24"/>
          <w:szCs w:val="24"/>
          <w:lang w:eastAsia="en-IN"/>
        </w:rPr>
        <w:t>The source dataset used:</w:t>
      </w:r>
    </w:p>
    <w:p w:rsidR="00660FA6" w:rsidRPr="00660FA6" w:rsidRDefault="00660FA6" w:rsidP="00157CB5">
      <w:pPr>
        <w:numPr>
          <w:ilvl w:val="0"/>
          <w:numId w:val="2"/>
        </w:numPr>
        <w:ind w:left="1077" w:right="0" w:hanging="357"/>
        <w:jc w:val="left"/>
        <w:rPr>
          <w:rFonts w:eastAsia="Times New Roman" w:cs="Times New Roman"/>
          <w:sz w:val="24"/>
          <w:szCs w:val="24"/>
          <w:lang w:eastAsia="en-IN"/>
        </w:rPr>
      </w:pPr>
      <w:r w:rsidRPr="00ED0B17">
        <w:rPr>
          <w:rFonts w:eastAsia="Times New Roman" w:cs="Courier New"/>
          <w:sz w:val="24"/>
          <w:szCs w:val="24"/>
          <w:lang w:eastAsia="en-IN"/>
        </w:rPr>
        <w:t>*</w:t>
      </w:r>
      <w:r w:rsidRPr="00660FA6">
        <w:rPr>
          <w:rFonts w:eastAsia="Times New Roman" w:cs="Times New Roman"/>
          <w:sz w:val="24"/>
          <w:szCs w:val="24"/>
          <w:lang w:eastAsia="en-IN"/>
        </w:rPr>
        <w:t xml:space="preserve"> </w:t>
      </w:r>
      <w:r w:rsidR="00264B13" w:rsidRPr="00660FA6">
        <w:rPr>
          <w:rFonts w:eastAsia="Times New Roman" w:cs="Times New Roman"/>
          <w:sz w:val="24"/>
          <w:szCs w:val="24"/>
          <w:lang w:eastAsia="en-IN"/>
        </w:rPr>
        <w:t>To</w:t>
      </w:r>
      <w:r w:rsidRPr="00660FA6">
        <w:rPr>
          <w:rFonts w:eastAsia="Times New Roman" w:cs="Times New Roman"/>
          <w:sz w:val="24"/>
          <w:szCs w:val="24"/>
          <w:lang w:eastAsia="en-IN"/>
        </w:rPr>
        <w:t xml:space="preserve"> represent suppressed/unavailable observations.</w:t>
      </w:r>
    </w:p>
    <w:p w:rsidR="00660FA6" w:rsidRPr="00660FA6" w:rsidRDefault="00660FA6" w:rsidP="00157CB5">
      <w:pPr>
        <w:numPr>
          <w:ilvl w:val="0"/>
          <w:numId w:val="2"/>
        </w:numPr>
        <w:ind w:left="1077" w:right="0" w:hanging="357"/>
        <w:jc w:val="left"/>
        <w:rPr>
          <w:rFonts w:eastAsia="Times New Roman" w:cs="Times New Roman"/>
          <w:sz w:val="24"/>
          <w:szCs w:val="24"/>
          <w:lang w:eastAsia="en-IN"/>
        </w:rPr>
      </w:pPr>
      <w:r w:rsidRPr="00660FA6">
        <w:rPr>
          <w:rFonts w:eastAsia="Times New Roman" w:cs="Times New Roman"/>
          <w:sz w:val="24"/>
          <w:szCs w:val="24"/>
          <w:lang w:eastAsia="en-IN"/>
        </w:rPr>
        <w:t>Parenthesized numeric values to identify low-sample observations.</w:t>
      </w:r>
    </w:p>
    <w:p w:rsidR="00660FA6" w:rsidRPr="004914CA" w:rsidRDefault="00660FA6" w:rsidP="004914CA">
      <w:pPr>
        <w:rPr>
          <w:rFonts w:eastAsia="Times New Roman" w:cstheme="minorHAnsi"/>
          <w:sz w:val="24"/>
          <w:szCs w:val="24"/>
          <w:lang w:eastAsia="en-IN"/>
        </w:rPr>
      </w:pPr>
      <w:r w:rsidRPr="004914CA">
        <w:rPr>
          <w:rFonts w:eastAsia="Times New Roman" w:cstheme="minorHAnsi"/>
          <w:sz w:val="24"/>
          <w:szCs w:val="24"/>
          <w:lang w:eastAsia="en-IN"/>
        </w:rPr>
        <w:t>Suppressed observations were converted to missing values.</w:t>
      </w:r>
    </w:p>
    <w:p w:rsidR="00660FA6" w:rsidRPr="004914CA" w:rsidRDefault="00660FA6" w:rsidP="004914CA">
      <w:pPr>
        <w:rPr>
          <w:rFonts w:eastAsia="Times New Roman" w:cstheme="minorHAnsi"/>
          <w:sz w:val="24"/>
          <w:szCs w:val="24"/>
          <w:lang w:eastAsia="en-IN"/>
        </w:rPr>
      </w:pPr>
      <w:r w:rsidRPr="004914CA">
        <w:rPr>
          <w:rFonts w:eastAsia="Times New Roman" w:cstheme="minorHAnsi"/>
          <w:sz w:val="24"/>
          <w:szCs w:val="24"/>
          <w:lang w:eastAsia="en-IN"/>
        </w:rPr>
        <w:t>Parenthesized numeric observations were converted into numeric values while their low-sample status was tracked separately.</w:t>
      </w:r>
    </w:p>
    <w:p w:rsidR="00CA5434" w:rsidRPr="004914CA" w:rsidRDefault="00CA5434" w:rsidP="004914CA">
      <w:pPr>
        <w:rPr>
          <w:rFonts w:eastAsia="Times New Roman" w:cstheme="minorHAnsi"/>
          <w:sz w:val="24"/>
          <w:szCs w:val="24"/>
          <w:lang w:eastAsia="en-IN"/>
        </w:rPr>
      </w:pPr>
      <w:r w:rsidRPr="004914CA">
        <w:rPr>
          <w:rFonts w:cstheme="minorHAnsi"/>
          <w:sz w:val="24"/>
          <w:szCs w:val="24"/>
        </w:rPr>
        <w:t xml:space="preserve">Parentheses appearing in legitimate district names were preserved. Examples include Kaimur (Bhabua), </w:t>
      </w:r>
      <w:r w:rsidR="00264B13" w:rsidRPr="004914CA">
        <w:rPr>
          <w:rFonts w:cstheme="minorHAnsi"/>
          <w:sz w:val="24"/>
          <w:szCs w:val="24"/>
        </w:rPr>
        <w:t>Leh (</w:t>
      </w:r>
      <w:r w:rsidRPr="004914CA">
        <w:rPr>
          <w:rFonts w:cstheme="minorHAnsi"/>
          <w:sz w:val="24"/>
          <w:szCs w:val="24"/>
        </w:rPr>
        <w:t>Ladakh), Khargone (West Nimar), Khandwa (East Nimar) and Sant Ravidas Nagar (Bhadohi).</w:t>
      </w:r>
    </w:p>
    <w:p w:rsidR="00BF3C74" w:rsidRPr="004914CA" w:rsidRDefault="00BF3C74" w:rsidP="004914C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These values were identified during profiling and handled appropriately so that they would not be incorrectly interpreted as numeric healthcare observations.</w:t>
      </w:r>
    </w:p>
    <w:p w:rsidR="00BF3C74" w:rsidRDefault="00BF3C74" w:rsidP="00BF3C74">
      <w:pPr>
        <w:pStyle w:val="Heading2"/>
      </w:pPr>
      <w:r>
        <w:t>3.3 Column Standardization</w:t>
      </w:r>
    </w:p>
    <w:p w:rsidR="00BF3C74" w:rsidRPr="004914CA" w:rsidRDefault="00BF3C74" w:rsidP="004914C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Column names were standardized into consistent machine-readable names to simplify:</w:t>
      </w:r>
    </w:p>
    <w:p w:rsidR="00BF3C74" w:rsidRPr="004914CA" w:rsidRDefault="00BF3C74" w:rsidP="00157CB5">
      <w:pPr>
        <w:pStyle w:val="NormalWeb"/>
        <w:numPr>
          <w:ilvl w:val="0"/>
          <w:numId w:val="7"/>
        </w:numPr>
        <w:spacing w:before="120" w:beforeAutospacing="0" w:after="120" w:afterAutospacing="0" w:line="276" w:lineRule="auto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Python analysis</w:t>
      </w:r>
    </w:p>
    <w:p w:rsidR="00BF3C74" w:rsidRPr="004914CA" w:rsidRDefault="00BF3C74" w:rsidP="00157CB5">
      <w:pPr>
        <w:pStyle w:val="NormalWeb"/>
        <w:numPr>
          <w:ilvl w:val="0"/>
          <w:numId w:val="7"/>
        </w:numPr>
        <w:spacing w:before="120" w:beforeAutospacing="0" w:after="120" w:afterAutospacing="0" w:line="276" w:lineRule="auto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Power Query transformations</w:t>
      </w:r>
    </w:p>
    <w:p w:rsidR="00BF3C74" w:rsidRPr="004914CA" w:rsidRDefault="00BF3C74" w:rsidP="00157CB5">
      <w:pPr>
        <w:pStyle w:val="NormalWeb"/>
        <w:numPr>
          <w:ilvl w:val="0"/>
          <w:numId w:val="7"/>
        </w:numPr>
        <w:spacing w:before="120" w:beforeAutospacing="0" w:after="120" w:afterAutospacing="0" w:line="276" w:lineRule="auto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Power BI modelling</w:t>
      </w:r>
    </w:p>
    <w:p w:rsidR="00BF3C74" w:rsidRDefault="00BF3C74" w:rsidP="00157CB5">
      <w:pPr>
        <w:pStyle w:val="NormalWeb"/>
        <w:numPr>
          <w:ilvl w:val="0"/>
          <w:numId w:val="7"/>
        </w:numPr>
        <w:spacing w:before="120" w:beforeAutospacing="0" w:after="120" w:afterAutospacing="0" w:line="276" w:lineRule="auto"/>
      </w:pPr>
      <w:r w:rsidRPr="004914CA">
        <w:rPr>
          <w:rFonts w:asciiTheme="minorHAnsi" w:hAnsiTheme="minorHAnsi" w:cstheme="minorHAnsi"/>
        </w:rPr>
        <w:t>KPI calculations</w:t>
      </w:r>
    </w:p>
    <w:p w:rsidR="00BF3C74" w:rsidRDefault="00BF3C74" w:rsidP="00BF3C74">
      <w:pPr>
        <w:pStyle w:val="Heading2"/>
      </w:pPr>
      <w:r>
        <w:t>3.4 Geographic Validation</w:t>
      </w:r>
    </w:p>
    <w:p w:rsidR="00BF3C74" w:rsidRPr="004914CA" w:rsidRDefault="00BF3C74" w:rsidP="004914C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State and district information was validated using the combined State + District key.</w:t>
      </w:r>
    </w:p>
    <w:p w:rsidR="00BF3C74" w:rsidRDefault="00BF3C74" w:rsidP="004914CA">
      <w:pPr>
        <w:pStyle w:val="NormalWeb"/>
        <w:spacing w:before="120" w:beforeAutospacing="0" w:after="120" w:afterAutospacing="0" w:line="276" w:lineRule="auto"/>
        <w:ind w:left="284" w:right="284"/>
        <w:jc w:val="both"/>
      </w:pPr>
      <w:r w:rsidRPr="004914CA">
        <w:rPr>
          <w:rFonts w:asciiTheme="minorHAnsi" w:hAnsiTheme="minorHAnsi" w:cstheme="minorHAnsi"/>
        </w:rPr>
        <w:t>The final dataset contained:</w:t>
      </w:r>
    </w:p>
    <w:p w:rsidR="00BF3C74" w:rsidRPr="004914CA" w:rsidRDefault="00BF3C74" w:rsidP="00157CB5">
      <w:pPr>
        <w:pStyle w:val="NormalWeb"/>
        <w:numPr>
          <w:ilvl w:val="0"/>
          <w:numId w:val="8"/>
        </w:numPr>
        <w:spacing w:before="120" w:beforeAutospacing="0" w:after="120" w:afterAutospacing="0" w:line="276" w:lineRule="auto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706 geographic records</w:t>
      </w:r>
    </w:p>
    <w:p w:rsidR="00BF3C74" w:rsidRPr="004914CA" w:rsidRDefault="00BF3C74" w:rsidP="00157CB5">
      <w:pPr>
        <w:pStyle w:val="NormalWeb"/>
        <w:numPr>
          <w:ilvl w:val="0"/>
          <w:numId w:val="8"/>
        </w:numPr>
        <w:spacing w:before="120" w:beforeAutospacing="0" w:after="120" w:afterAutospacing="0" w:line="276" w:lineRule="auto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706 unique State + District combinations</w:t>
      </w:r>
    </w:p>
    <w:p w:rsidR="00BF3C74" w:rsidRPr="004914CA" w:rsidRDefault="00BF3C74" w:rsidP="00157CB5">
      <w:pPr>
        <w:pStyle w:val="NormalWeb"/>
        <w:numPr>
          <w:ilvl w:val="0"/>
          <w:numId w:val="8"/>
        </w:numPr>
        <w:spacing w:before="120" w:beforeAutospacing="0" w:after="120" w:afterAutospacing="0" w:line="276" w:lineRule="auto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0 duplicate rows</w:t>
      </w:r>
    </w:p>
    <w:p w:rsidR="00BF3C74" w:rsidRPr="004914CA" w:rsidRDefault="00BF3C74" w:rsidP="00157CB5">
      <w:pPr>
        <w:pStyle w:val="NormalWeb"/>
        <w:numPr>
          <w:ilvl w:val="0"/>
          <w:numId w:val="8"/>
        </w:numPr>
        <w:spacing w:before="120" w:beforeAutospacing="0" w:after="120" w:afterAutospacing="0" w:line="276" w:lineRule="auto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0 duplicate columns</w:t>
      </w:r>
    </w:p>
    <w:p w:rsidR="00BF3C74" w:rsidRDefault="00BF3C74" w:rsidP="00157CB5">
      <w:pPr>
        <w:pStyle w:val="NormalWeb"/>
        <w:numPr>
          <w:ilvl w:val="0"/>
          <w:numId w:val="8"/>
        </w:numPr>
        <w:spacing w:before="120" w:beforeAutospacing="0" w:after="120" w:afterAutospacing="0" w:line="276" w:lineRule="auto"/>
      </w:pPr>
      <w:r w:rsidRPr="004914CA">
        <w:rPr>
          <w:rFonts w:asciiTheme="minorHAnsi" w:hAnsiTheme="minorHAnsi" w:cstheme="minorHAnsi"/>
        </w:rPr>
        <w:t>0 remaining encoded values</w:t>
      </w:r>
    </w:p>
    <w:p w:rsidR="00BF3C74" w:rsidRPr="004914CA" w:rsidRDefault="00BF3C74" w:rsidP="004914CA">
      <w:pPr>
        <w:pStyle w:val="NormalWeb"/>
        <w:spacing w:before="120" w:beforeAutospacing="0" w:after="120" w:afterAutospacing="0" w:line="276" w:lineRule="auto"/>
        <w:ind w:left="284"/>
        <w:jc w:val="both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Legitimate district names containing parentheses were preserved.</w:t>
      </w:r>
    </w:p>
    <w:p w:rsidR="00BF3C74" w:rsidRDefault="00BF3C74" w:rsidP="00BF3C74">
      <w:pPr>
        <w:pStyle w:val="Heading1"/>
      </w:pPr>
      <w:r>
        <w:t>4. Indicator Classification</w:t>
      </w:r>
    </w:p>
    <w:p w:rsidR="00BF3C74" w:rsidRPr="004914CA" w:rsidRDefault="00BF3C74" w:rsidP="004914CA">
      <w:pPr>
        <w:pStyle w:val="NormalWeb"/>
        <w:spacing w:before="120" w:beforeAutospacing="0" w:after="120" w:afterAutospacing="0" w:line="276" w:lineRule="auto"/>
        <w:ind w:left="284"/>
        <w:jc w:val="both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The 107 indicators were evaluated and organized according to their analytical relevance.</w:t>
      </w:r>
    </w:p>
    <w:p w:rsidR="00BF3C74" w:rsidRPr="004914CA" w:rsidRDefault="00BF3C74" w:rsidP="004914CA">
      <w:pPr>
        <w:pStyle w:val="NormalWeb"/>
        <w:spacing w:before="120" w:beforeAutospacing="0" w:after="120" w:afterAutospacing="0" w:line="276" w:lineRule="auto"/>
        <w:ind w:left="284"/>
        <w:jc w:val="both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The classification process created three selection groups:</w:t>
      </w:r>
    </w:p>
    <w:p w:rsidR="00BF3C74" w:rsidRPr="004914CA" w:rsidRDefault="00BF3C74" w:rsidP="00157CB5">
      <w:pPr>
        <w:pStyle w:val="NormalWeb"/>
        <w:numPr>
          <w:ilvl w:val="0"/>
          <w:numId w:val="9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Core</w:t>
      </w:r>
    </w:p>
    <w:p w:rsidR="00BF3C74" w:rsidRPr="004914CA" w:rsidRDefault="00BF3C74" w:rsidP="00157CB5">
      <w:pPr>
        <w:pStyle w:val="NormalWeb"/>
        <w:numPr>
          <w:ilvl w:val="0"/>
          <w:numId w:val="9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lastRenderedPageBreak/>
        <w:t>Supporting</w:t>
      </w:r>
    </w:p>
    <w:p w:rsidR="00BF3C74" w:rsidRPr="004914CA" w:rsidRDefault="00BF3C74" w:rsidP="00157CB5">
      <w:pPr>
        <w:pStyle w:val="NormalWeb"/>
        <w:numPr>
          <w:ilvl w:val="0"/>
          <w:numId w:val="9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Exclude</w:t>
      </w:r>
    </w:p>
    <w:p w:rsidR="00BF3C74" w:rsidRPr="004914CA" w:rsidRDefault="00BF3C74" w:rsidP="004914C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4914CA">
        <w:rPr>
          <w:rFonts w:asciiTheme="minorHAnsi" w:hAnsiTheme="minorHAnsi" w:cstheme="minorHAnsi"/>
        </w:rPr>
        <w:t>The final framework retained 50 Core indicators for the primary HealthGap analysis.</w:t>
      </w:r>
    </w:p>
    <w:p w:rsidR="00BF3C74" w:rsidRDefault="00BF3C74" w:rsidP="00BF3C74">
      <w:pPr>
        <w:pStyle w:val="Heading2"/>
      </w:pPr>
      <w:r>
        <w:t>4.1 Indicator Categories</w:t>
      </w:r>
    </w:p>
    <w:p w:rsidR="00815E60" w:rsidRPr="004A59C1" w:rsidRDefault="00815E60" w:rsidP="004A59C1">
      <w:pPr>
        <w:pStyle w:val="NormalWeb"/>
        <w:spacing w:before="120" w:beforeAutospacing="0" w:after="120" w:afterAutospacing="0" w:line="276" w:lineRule="auto"/>
        <w:ind w:left="284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The Core framework covers:</w:t>
      </w:r>
    </w:p>
    <w:p w:rsidR="004A59C1" w:rsidRPr="004A59C1" w:rsidRDefault="004A59C1" w:rsidP="00157CB5">
      <w:pPr>
        <w:pStyle w:val="NormalWeb"/>
        <w:numPr>
          <w:ilvl w:val="0"/>
          <w:numId w:val="1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Maternal &amp; Newborn Health</w:t>
      </w:r>
    </w:p>
    <w:p w:rsidR="004A59C1" w:rsidRPr="004A59C1" w:rsidRDefault="004A59C1" w:rsidP="00157CB5">
      <w:pPr>
        <w:pStyle w:val="NormalWeb"/>
        <w:numPr>
          <w:ilvl w:val="0"/>
          <w:numId w:val="1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Adult Health &amp; Risk Factors</w:t>
      </w:r>
    </w:p>
    <w:p w:rsidR="004A59C1" w:rsidRPr="004A59C1" w:rsidRDefault="004A59C1" w:rsidP="00157CB5">
      <w:pPr>
        <w:pStyle w:val="NormalWeb"/>
        <w:numPr>
          <w:ilvl w:val="0"/>
          <w:numId w:val="1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Child Nutrition</w:t>
      </w:r>
    </w:p>
    <w:p w:rsidR="004A59C1" w:rsidRPr="004A59C1" w:rsidRDefault="004A59C1" w:rsidP="00157CB5">
      <w:pPr>
        <w:pStyle w:val="NormalWeb"/>
        <w:numPr>
          <w:ilvl w:val="0"/>
          <w:numId w:val="1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Family Planning &amp; Reproductive Health</w:t>
      </w:r>
    </w:p>
    <w:p w:rsidR="004A59C1" w:rsidRPr="004A59C1" w:rsidRDefault="004A59C1" w:rsidP="00157CB5">
      <w:pPr>
        <w:pStyle w:val="NormalWeb"/>
        <w:numPr>
          <w:ilvl w:val="0"/>
          <w:numId w:val="1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Child Immunization</w:t>
      </w:r>
    </w:p>
    <w:p w:rsidR="004A59C1" w:rsidRPr="004A59C1" w:rsidRDefault="004A59C1" w:rsidP="00157CB5">
      <w:pPr>
        <w:pStyle w:val="NormalWeb"/>
        <w:numPr>
          <w:ilvl w:val="0"/>
          <w:numId w:val="1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Socioeconomic &amp; Living Conditions</w:t>
      </w:r>
    </w:p>
    <w:p w:rsidR="004A59C1" w:rsidRPr="004A59C1" w:rsidRDefault="004A59C1" w:rsidP="00157CB5">
      <w:pPr>
        <w:pStyle w:val="NormalWeb"/>
        <w:numPr>
          <w:ilvl w:val="0"/>
          <w:numId w:val="1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Child Illness &amp; Healthcare Access</w:t>
      </w:r>
    </w:p>
    <w:p w:rsidR="004A59C1" w:rsidRPr="004A59C1" w:rsidRDefault="004A59C1" w:rsidP="00157CB5">
      <w:pPr>
        <w:pStyle w:val="NormalWeb"/>
        <w:numPr>
          <w:ilvl w:val="0"/>
          <w:numId w:val="1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Population &amp; Survey Profile</w:t>
      </w:r>
    </w:p>
    <w:p w:rsidR="004A59C1" w:rsidRPr="004A59C1" w:rsidRDefault="004A59C1" w:rsidP="00157CB5">
      <w:pPr>
        <w:pStyle w:val="NormalWeb"/>
        <w:numPr>
          <w:ilvl w:val="0"/>
          <w:numId w:val="1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Education</w:t>
      </w:r>
    </w:p>
    <w:p w:rsidR="004A59C1" w:rsidRPr="004A59C1" w:rsidRDefault="004A59C1" w:rsidP="00157CB5">
      <w:pPr>
        <w:pStyle w:val="NormalWeb"/>
        <w:numPr>
          <w:ilvl w:val="0"/>
          <w:numId w:val="1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Mortality &amp; Registration</w:t>
      </w:r>
    </w:p>
    <w:p w:rsidR="00D50945" w:rsidRPr="004A59C1" w:rsidRDefault="00D50945" w:rsidP="004A59C1">
      <w:pPr>
        <w:pStyle w:val="NormalWeb"/>
        <w:spacing w:before="120" w:beforeAutospacing="0" w:after="120" w:afterAutospacing="0" w:line="276" w:lineRule="auto"/>
        <w:ind w:left="284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The Core indicators include:</w:t>
      </w:r>
    </w:p>
    <w:p w:rsidR="00D50945" w:rsidRPr="00CF0149" w:rsidRDefault="00D50945" w:rsidP="00157CB5">
      <w:pPr>
        <w:pStyle w:val="ListParagraph"/>
        <w:numPr>
          <w:ilvl w:val="0"/>
          <w:numId w:val="11"/>
        </w:numPr>
        <w:ind w:right="0"/>
        <w:jc w:val="left"/>
        <w:rPr>
          <w:sz w:val="24"/>
          <w:szCs w:val="24"/>
        </w:rPr>
      </w:pPr>
      <w:r w:rsidRPr="00CF0149">
        <w:rPr>
          <w:sz w:val="24"/>
          <w:szCs w:val="24"/>
        </w:rPr>
        <w:t>Maternal &amp; Newborn Health</w:t>
      </w:r>
    </w:p>
    <w:p w:rsidR="00D50945" w:rsidRPr="00CF0149" w:rsidRDefault="00D50945" w:rsidP="00157CB5">
      <w:pPr>
        <w:pStyle w:val="ListParagraph"/>
        <w:numPr>
          <w:ilvl w:val="0"/>
          <w:numId w:val="11"/>
        </w:numPr>
        <w:ind w:right="0"/>
        <w:jc w:val="left"/>
        <w:rPr>
          <w:sz w:val="24"/>
          <w:szCs w:val="24"/>
        </w:rPr>
      </w:pPr>
      <w:r w:rsidRPr="00CF0149">
        <w:rPr>
          <w:sz w:val="24"/>
          <w:szCs w:val="24"/>
        </w:rPr>
        <w:t>Child Immunization</w:t>
      </w:r>
    </w:p>
    <w:p w:rsidR="00D50945" w:rsidRPr="00CF0149" w:rsidRDefault="00D50945" w:rsidP="00157CB5">
      <w:pPr>
        <w:pStyle w:val="ListParagraph"/>
        <w:numPr>
          <w:ilvl w:val="0"/>
          <w:numId w:val="11"/>
        </w:numPr>
        <w:ind w:right="0"/>
        <w:jc w:val="left"/>
        <w:rPr>
          <w:sz w:val="24"/>
          <w:szCs w:val="24"/>
        </w:rPr>
      </w:pPr>
      <w:r w:rsidRPr="00CF0149">
        <w:rPr>
          <w:sz w:val="24"/>
          <w:szCs w:val="24"/>
        </w:rPr>
        <w:t>Child Nutrition</w:t>
      </w:r>
    </w:p>
    <w:p w:rsidR="00CF0149" w:rsidRPr="00B47781" w:rsidRDefault="00D50945" w:rsidP="00157CB5">
      <w:pPr>
        <w:pStyle w:val="ListParagraph"/>
        <w:numPr>
          <w:ilvl w:val="0"/>
          <w:numId w:val="11"/>
        </w:numPr>
        <w:ind w:right="0"/>
        <w:jc w:val="left"/>
        <w:rPr>
          <w:sz w:val="24"/>
          <w:szCs w:val="24"/>
        </w:rPr>
      </w:pPr>
      <w:r w:rsidRPr="00CF0149">
        <w:rPr>
          <w:sz w:val="24"/>
          <w:szCs w:val="24"/>
        </w:rPr>
        <w:t>Child Illness &amp; Healthcare Access</w:t>
      </w:r>
    </w:p>
    <w:p w:rsidR="00D50945" w:rsidRPr="00435454" w:rsidRDefault="00D50945" w:rsidP="00435454">
      <w:pPr>
        <w:rPr>
          <w:rStyle w:val="Strong"/>
          <w:rFonts w:cstheme="minorHAnsi"/>
          <w:sz w:val="24"/>
          <w:szCs w:val="24"/>
        </w:rPr>
      </w:pPr>
      <w:r w:rsidRPr="00435454">
        <w:rPr>
          <w:rStyle w:val="Strong"/>
          <w:rFonts w:cstheme="minorHAnsi"/>
          <w:sz w:val="24"/>
          <w:szCs w:val="24"/>
        </w:rPr>
        <w:t>Final selection</w:t>
      </w:r>
    </w:p>
    <w:tbl>
      <w:tblPr>
        <w:tblStyle w:val="TableGridLight"/>
        <w:tblW w:w="3394" w:type="dxa"/>
        <w:tblInd w:w="760" w:type="dxa"/>
        <w:tblLook w:val="04A0" w:firstRow="1" w:lastRow="0" w:firstColumn="1" w:lastColumn="0" w:noHBand="0" w:noVBand="1"/>
      </w:tblPr>
      <w:tblGrid>
        <w:gridCol w:w="1858"/>
        <w:gridCol w:w="1777"/>
      </w:tblGrid>
      <w:tr w:rsidR="00D50945" w:rsidRPr="004A59C1" w:rsidTr="004A59C1">
        <w:trPr>
          <w:trHeight w:val="384"/>
        </w:trPr>
        <w:tc>
          <w:tcPr>
            <w:tcW w:w="0" w:type="auto"/>
            <w:hideMark/>
          </w:tcPr>
          <w:p w:rsidR="00D50945" w:rsidRPr="004A59C1" w:rsidRDefault="00D50945">
            <w:pPr>
              <w:jc w:val="center"/>
              <w:rPr>
                <w:b/>
                <w:bCs/>
                <w:sz w:val="24"/>
                <w:szCs w:val="24"/>
              </w:rPr>
            </w:pPr>
            <w:r w:rsidRPr="004A59C1">
              <w:rPr>
                <w:b/>
                <w:bCs/>
                <w:sz w:val="24"/>
                <w:szCs w:val="24"/>
              </w:rPr>
              <w:t>Selection</w:t>
            </w:r>
          </w:p>
        </w:tc>
        <w:tc>
          <w:tcPr>
            <w:tcW w:w="0" w:type="auto"/>
            <w:hideMark/>
          </w:tcPr>
          <w:p w:rsidR="00D50945" w:rsidRPr="004A59C1" w:rsidRDefault="00D50945">
            <w:pPr>
              <w:jc w:val="center"/>
              <w:rPr>
                <w:b/>
                <w:bCs/>
                <w:sz w:val="24"/>
                <w:szCs w:val="24"/>
              </w:rPr>
            </w:pPr>
            <w:r w:rsidRPr="004A59C1">
              <w:rPr>
                <w:b/>
                <w:bCs/>
                <w:sz w:val="24"/>
                <w:szCs w:val="24"/>
              </w:rPr>
              <w:t>Indicators</w:t>
            </w:r>
          </w:p>
        </w:tc>
      </w:tr>
      <w:tr w:rsidR="00D50945" w:rsidRPr="004A59C1" w:rsidTr="004A59C1">
        <w:trPr>
          <w:trHeight w:val="384"/>
        </w:trPr>
        <w:tc>
          <w:tcPr>
            <w:tcW w:w="0" w:type="auto"/>
            <w:hideMark/>
          </w:tcPr>
          <w:p w:rsidR="00D50945" w:rsidRPr="004A59C1" w:rsidRDefault="00D50945">
            <w:pPr>
              <w:jc w:val="left"/>
              <w:rPr>
                <w:sz w:val="24"/>
                <w:szCs w:val="24"/>
              </w:rPr>
            </w:pPr>
            <w:r w:rsidRPr="004A59C1">
              <w:rPr>
                <w:sz w:val="24"/>
                <w:szCs w:val="24"/>
              </w:rPr>
              <w:t>Core</w:t>
            </w:r>
          </w:p>
        </w:tc>
        <w:tc>
          <w:tcPr>
            <w:tcW w:w="0" w:type="auto"/>
            <w:hideMark/>
          </w:tcPr>
          <w:p w:rsidR="00D50945" w:rsidRPr="004A59C1" w:rsidRDefault="00D50945">
            <w:pPr>
              <w:rPr>
                <w:sz w:val="24"/>
                <w:szCs w:val="24"/>
              </w:rPr>
            </w:pPr>
            <w:r w:rsidRPr="004A59C1">
              <w:rPr>
                <w:sz w:val="24"/>
                <w:szCs w:val="24"/>
              </w:rPr>
              <w:t>50</w:t>
            </w:r>
          </w:p>
        </w:tc>
      </w:tr>
      <w:tr w:rsidR="00D50945" w:rsidRPr="004A59C1" w:rsidTr="004A59C1">
        <w:trPr>
          <w:trHeight w:val="399"/>
        </w:trPr>
        <w:tc>
          <w:tcPr>
            <w:tcW w:w="0" w:type="auto"/>
            <w:hideMark/>
          </w:tcPr>
          <w:p w:rsidR="00D50945" w:rsidRPr="004A59C1" w:rsidRDefault="00D50945">
            <w:pPr>
              <w:rPr>
                <w:sz w:val="24"/>
                <w:szCs w:val="24"/>
              </w:rPr>
            </w:pPr>
            <w:r w:rsidRPr="004A59C1">
              <w:rPr>
                <w:sz w:val="24"/>
                <w:szCs w:val="24"/>
              </w:rPr>
              <w:t>Supporting</w:t>
            </w:r>
          </w:p>
        </w:tc>
        <w:tc>
          <w:tcPr>
            <w:tcW w:w="0" w:type="auto"/>
            <w:hideMark/>
          </w:tcPr>
          <w:p w:rsidR="00D50945" w:rsidRPr="004A59C1" w:rsidRDefault="00D50945">
            <w:pPr>
              <w:rPr>
                <w:sz w:val="24"/>
                <w:szCs w:val="24"/>
              </w:rPr>
            </w:pPr>
            <w:r w:rsidRPr="004A59C1">
              <w:rPr>
                <w:sz w:val="24"/>
                <w:szCs w:val="24"/>
              </w:rPr>
              <w:t>49</w:t>
            </w:r>
          </w:p>
        </w:tc>
      </w:tr>
      <w:tr w:rsidR="00D50945" w:rsidRPr="004A59C1" w:rsidTr="004A59C1">
        <w:trPr>
          <w:trHeight w:val="384"/>
        </w:trPr>
        <w:tc>
          <w:tcPr>
            <w:tcW w:w="0" w:type="auto"/>
            <w:hideMark/>
          </w:tcPr>
          <w:p w:rsidR="00D50945" w:rsidRPr="004A59C1" w:rsidRDefault="00D50945">
            <w:pPr>
              <w:rPr>
                <w:sz w:val="24"/>
                <w:szCs w:val="24"/>
              </w:rPr>
            </w:pPr>
            <w:r w:rsidRPr="004A59C1">
              <w:rPr>
                <w:sz w:val="24"/>
                <w:szCs w:val="24"/>
              </w:rPr>
              <w:t>Excluded</w:t>
            </w:r>
          </w:p>
        </w:tc>
        <w:tc>
          <w:tcPr>
            <w:tcW w:w="0" w:type="auto"/>
            <w:hideMark/>
          </w:tcPr>
          <w:p w:rsidR="00D50945" w:rsidRPr="004A59C1" w:rsidRDefault="00D50945">
            <w:pPr>
              <w:rPr>
                <w:sz w:val="24"/>
                <w:szCs w:val="24"/>
              </w:rPr>
            </w:pPr>
            <w:r w:rsidRPr="004A59C1">
              <w:rPr>
                <w:sz w:val="24"/>
                <w:szCs w:val="24"/>
              </w:rPr>
              <w:t>8</w:t>
            </w:r>
          </w:p>
        </w:tc>
      </w:tr>
      <w:tr w:rsidR="00D50945" w:rsidRPr="004A59C1" w:rsidTr="004A59C1">
        <w:trPr>
          <w:trHeight w:val="384"/>
        </w:trPr>
        <w:tc>
          <w:tcPr>
            <w:tcW w:w="0" w:type="auto"/>
            <w:hideMark/>
          </w:tcPr>
          <w:p w:rsidR="00D50945" w:rsidRPr="004A59C1" w:rsidRDefault="00D50945">
            <w:pPr>
              <w:rPr>
                <w:sz w:val="24"/>
                <w:szCs w:val="24"/>
              </w:rPr>
            </w:pPr>
            <w:r w:rsidRPr="004A59C1">
              <w:rPr>
                <w:rStyle w:val="Strong"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:rsidR="00D50945" w:rsidRPr="004A59C1" w:rsidRDefault="00D50945">
            <w:pPr>
              <w:rPr>
                <w:sz w:val="24"/>
                <w:szCs w:val="24"/>
              </w:rPr>
            </w:pPr>
            <w:r w:rsidRPr="004A59C1">
              <w:rPr>
                <w:rStyle w:val="Strong"/>
                <w:sz w:val="24"/>
                <w:szCs w:val="24"/>
              </w:rPr>
              <w:t>107</w:t>
            </w:r>
          </w:p>
        </w:tc>
      </w:tr>
    </w:tbl>
    <w:p w:rsidR="00D50945" w:rsidRPr="004A59C1" w:rsidRDefault="00D50945" w:rsidP="004A59C1">
      <w:pPr>
        <w:pStyle w:val="isselectedend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Core indicators represent the primary dimensions used to assess district healthcare gaps.</w:t>
      </w:r>
    </w:p>
    <w:p w:rsidR="00D50945" w:rsidRPr="004A59C1" w:rsidRDefault="00D50945" w:rsidP="004A59C1">
      <w:pPr>
        <w:pStyle w:val="isselectedend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Supporting indicators provide contextual information and are available for deeper analysis.</w:t>
      </w:r>
    </w:p>
    <w:p w:rsidR="00D50945" w:rsidRPr="004A59C1" w:rsidRDefault="00D50945" w:rsidP="004A59C1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Excluded indicators were retained in the metadata framework but were not included in the primary scoring model because of insufficient coverage or analytical suitability.</w:t>
      </w:r>
    </w:p>
    <w:p w:rsidR="00BF3C74" w:rsidRDefault="00BF3C74" w:rsidP="00BF3C74">
      <w:pPr>
        <w:pStyle w:val="Heading2"/>
      </w:pPr>
      <w:r>
        <w:lastRenderedPageBreak/>
        <w:t>4.2 Indicator Direction</w:t>
      </w:r>
    </w:p>
    <w:p w:rsidR="00BF3C74" w:rsidRPr="004A59C1" w:rsidRDefault="00BF3C74" w:rsidP="004A59C1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4A59C1">
        <w:rPr>
          <w:rFonts w:asciiTheme="minorHAnsi" w:hAnsiTheme="minorHAnsi" w:cstheme="minorHAnsi"/>
        </w:rPr>
        <w:t>Indicators were also assigned an analytical direction.</w:t>
      </w:r>
    </w:p>
    <w:p w:rsidR="00BF3C74" w:rsidRPr="004A59C1" w:rsidRDefault="00BF3C74" w:rsidP="004A59C1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4A59C1">
        <w:rPr>
          <w:rStyle w:val="Strong"/>
          <w:rFonts w:asciiTheme="minorHAnsi" w:hAnsiTheme="minorHAnsi" w:cstheme="minorHAnsi"/>
        </w:rPr>
        <w:t>Positive:</w:t>
      </w:r>
      <w:r w:rsidRPr="004A59C1">
        <w:rPr>
          <w:rFonts w:asciiTheme="minorHAnsi" w:hAnsiTheme="minorHAnsi" w:cstheme="minorHAnsi"/>
        </w:rPr>
        <w:t xml:space="preserve"> Higher values generally represent better performance.</w:t>
      </w:r>
    </w:p>
    <w:p w:rsidR="00BF3C74" w:rsidRPr="004A59C1" w:rsidRDefault="00BF3C74" w:rsidP="004A59C1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4A59C1">
        <w:rPr>
          <w:rStyle w:val="Strong"/>
          <w:rFonts w:asciiTheme="minorHAnsi" w:hAnsiTheme="minorHAnsi" w:cstheme="minorHAnsi"/>
        </w:rPr>
        <w:t>Negative:</w:t>
      </w:r>
      <w:r w:rsidRPr="004A59C1">
        <w:rPr>
          <w:rFonts w:asciiTheme="minorHAnsi" w:hAnsiTheme="minorHAnsi" w:cstheme="minorHAnsi"/>
        </w:rPr>
        <w:t xml:space="preserve"> Higher values generally represent greater health risk or poorer performance.</w:t>
      </w:r>
    </w:p>
    <w:p w:rsidR="00BF3C74" w:rsidRPr="004A59C1" w:rsidRDefault="00BF3C74" w:rsidP="004A59C1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4A59C1">
        <w:rPr>
          <w:rStyle w:val="Strong"/>
          <w:rFonts w:asciiTheme="minorHAnsi" w:hAnsiTheme="minorHAnsi" w:cstheme="minorHAnsi"/>
        </w:rPr>
        <w:t>Context/Review:</w:t>
      </w:r>
      <w:r w:rsidRPr="004A59C1">
        <w:rPr>
          <w:rFonts w:asciiTheme="minorHAnsi" w:hAnsiTheme="minorHAnsi" w:cstheme="minorHAnsi"/>
        </w:rPr>
        <w:t xml:space="preserve"> Indicators requiring separate contextual interpretation were not automatically incorporated into the composite score.</w:t>
      </w:r>
    </w:p>
    <w:p w:rsidR="00BF3C74" w:rsidRDefault="00BF3C74" w:rsidP="00BF3C74">
      <w:pPr>
        <w:pStyle w:val="Heading1"/>
      </w:pPr>
      <w:r>
        <w:t>5. Exploratory Data Analysis</w:t>
      </w:r>
    </w:p>
    <w:p w:rsidR="00BF3C74" w:rsidRPr="001A117D" w:rsidRDefault="00BF3C74" w:rsidP="001A117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1A117D">
        <w:rPr>
          <w:rFonts w:asciiTheme="minorHAnsi" w:hAnsiTheme="minorHAnsi" w:cstheme="minorHAnsi"/>
        </w:rPr>
        <w:t>Exploratory Data Analysis was performed using Python to understand data completeness, indicator variability and relationships between healthcare indicators.</w:t>
      </w:r>
    </w:p>
    <w:p w:rsidR="00BF3C74" w:rsidRDefault="00BF3C74" w:rsidP="00BF3C74">
      <w:pPr>
        <w:pStyle w:val="Heading2"/>
      </w:pPr>
      <w:r>
        <w:t>5.1 Data Coverage</w:t>
      </w:r>
    </w:p>
    <w:p w:rsidR="00BF3C74" w:rsidRPr="001A117D" w:rsidRDefault="00BF3C74" w:rsidP="001A117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1A117D">
        <w:rPr>
          <w:rFonts w:asciiTheme="minorHAnsi" w:hAnsiTheme="minorHAnsi" w:cstheme="minorHAnsi"/>
        </w:rPr>
        <w:t>The final Core dataset contained 50 indicators.</w:t>
      </w:r>
    </w:p>
    <w:p w:rsidR="00BF3C74" w:rsidRPr="001A117D" w:rsidRDefault="00BF3C74" w:rsidP="001A117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1A117D">
        <w:rPr>
          <w:rFonts w:asciiTheme="minorHAnsi" w:hAnsiTheme="minorHAnsi" w:cstheme="minorHAnsi"/>
        </w:rPr>
        <w:t>Average missingness across the Core indicators was approximately 1.28%.</w:t>
      </w:r>
    </w:p>
    <w:p w:rsidR="00BF3C74" w:rsidRPr="001A117D" w:rsidRDefault="00BF3C74" w:rsidP="001A117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1A117D">
        <w:rPr>
          <w:rFonts w:asciiTheme="minorHAnsi" w:hAnsiTheme="minorHAnsi" w:cstheme="minorHAnsi"/>
        </w:rPr>
        <w:t>Most indicators therefore had high data availability, although selected indicators showed substantially greater missingness.</w:t>
      </w:r>
    </w:p>
    <w:p w:rsidR="00BF3C74" w:rsidRDefault="00BF3C74" w:rsidP="00BF3C74">
      <w:pPr>
        <w:pStyle w:val="Heading2"/>
      </w:pPr>
      <w:r>
        <w:t>5.2 Indicator Variability</w:t>
      </w:r>
    </w:p>
    <w:p w:rsidR="00BF3C74" w:rsidRPr="001A117D" w:rsidRDefault="00BF3C74" w:rsidP="001A117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1A117D">
        <w:rPr>
          <w:rFonts w:asciiTheme="minorHAnsi" w:hAnsiTheme="minorHAnsi" w:cstheme="minorHAnsi"/>
        </w:rPr>
        <w:t>The analysis identified indicators with substantial variation between districts.</w:t>
      </w:r>
    </w:p>
    <w:p w:rsidR="00BF3C74" w:rsidRPr="001A117D" w:rsidRDefault="00BF3C74" w:rsidP="001A117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1A117D">
        <w:rPr>
          <w:rFonts w:asciiTheme="minorHAnsi" w:hAnsiTheme="minorHAnsi" w:cstheme="minorHAnsi"/>
        </w:rPr>
        <w:t>The highest variability included:</w:t>
      </w:r>
    </w:p>
    <w:p w:rsidR="00BF3C74" w:rsidRPr="001A117D" w:rsidRDefault="00BF3C74" w:rsidP="00157CB5">
      <w:pPr>
        <w:pStyle w:val="NormalWeb"/>
        <w:numPr>
          <w:ilvl w:val="0"/>
          <w:numId w:val="12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1A117D">
        <w:rPr>
          <w:rFonts w:asciiTheme="minorHAnsi" w:hAnsiTheme="minorHAnsi" w:cstheme="minorHAnsi"/>
        </w:rPr>
        <w:t>Average out-of-pocket expenditure per delivery in a public health facility</w:t>
      </w:r>
    </w:p>
    <w:p w:rsidR="00BF3C74" w:rsidRPr="001A117D" w:rsidRDefault="00BF3C74" w:rsidP="00157CB5">
      <w:pPr>
        <w:pStyle w:val="NormalWeb"/>
        <w:numPr>
          <w:ilvl w:val="0"/>
          <w:numId w:val="12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1A117D">
        <w:rPr>
          <w:rFonts w:asciiTheme="minorHAnsi" w:hAnsiTheme="minorHAnsi" w:cstheme="minorHAnsi"/>
        </w:rPr>
        <w:t>Sex ratio at birth</w:t>
      </w:r>
    </w:p>
    <w:p w:rsidR="00BF3C74" w:rsidRPr="001A117D" w:rsidRDefault="00BF3C74" w:rsidP="00157CB5">
      <w:pPr>
        <w:pStyle w:val="NormalWeb"/>
        <w:numPr>
          <w:ilvl w:val="0"/>
          <w:numId w:val="12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1A117D">
        <w:rPr>
          <w:rFonts w:asciiTheme="minorHAnsi" w:hAnsiTheme="minorHAnsi" w:cstheme="minorHAnsi"/>
        </w:rPr>
        <w:t>Selected child immunization indicators</w:t>
      </w:r>
    </w:p>
    <w:p w:rsidR="00BF3C74" w:rsidRPr="001A117D" w:rsidRDefault="00BF3C74" w:rsidP="00157CB5">
      <w:pPr>
        <w:pStyle w:val="NormalWeb"/>
        <w:numPr>
          <w:ilvl w:val="0"/>
          <w:numId w:val="12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1A117D">
        <w:rPr>
          <w:rFonts w:asciiTheme="minorHAnsi" w:hAnsiTheme="minorHAnsi" w:cstheme="minorHAnsi"/>
        </w:rPr>
        <w:t>Antenatal care indicators</w:t>
      </w:r>
    </w:p>
    <w:p w:rsidR="00BF3C74" w:rsidRPr="001A117D" w:rsidRDefault="00BF3C74" w:rsidP="00157CB5">
      <w:pPr>
        <w:pStyle w:val="NormalWeb"/>
        <w:numPr>
          <w:ilvl w:val="0"/>
          <w:numId w:val="12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1A117D">
        <w:rPr>
          <w:rFonts w:asciiTheme="minorHAnsi" w:hAnsiTheme="minorHAnsi" w:cstheme="minorHAnsi"/>
        </w:rPr>
        <w:t>Caesarean-section indicators</w:t>
      </w:r>
    </w:p>
    <w:p w:rsidR="00BF3C74" w:rsidRPr="001A117D" w:rsidRDefault="00BF3C74" w:rsidP="001A117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1A117D">
        <w:rPr>
          <w:rFonts w:asciiTheme="minorHAnsi" w:hAnsiTheme="minorHAnsi" w:cstheme="minorHAnsi"/>
        </w:rPr>
        <w:t>This variability indicates that healthcare outcomes differ meaningfully across districts.</w:t>
      </w:r>
    </w:p>
    <w:p w:rsidR="00BF3C74" w:rsidRDefault="00BF3C74" w:rsidP="00BF3C74">
      <w:pPr>
        <w:pStyle w:val="Heading2"/>
      </w:pPr>
      <w:r>
        <w:t>5.3 Correlation Analysis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Correlation analysis was used to identify descriptive relationships between selected healthcare indicators.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The strongest validated relationship examined in the final business analysis was: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Style w:val="Strong"/>
          <w:rFonts w:asciiTheme="minorHAnsi" w:hAnsiTheme="minorHAnsi" w:cstheme="minorHAnsi"/>
        </w:rPr>
        <w:t>Maternal Care → Institutional Births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Correlation: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Style w:val="Strong"/>
          <w:rFonts w:asciiTheme="minorHAnsi" w:hAnsiTheme="minorHAnsi" w:cstheme="minorHAnsi"/>
        </w:rPr>
        <w:t>r = 0.599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This represents a strong positive association.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lastRenderedPageBreak/>
        <w:t>A second relationship examined was: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Style w:val="Strong"/>
          <w:rFonts w:asciiTheme="minorHAnsi" w:hAnsiTheme="minorHAnsi" w:cstheme="minorHAnsi"/>
        </w:rPr>
        <w:t>Maternal Care → Child Stunting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Correlation: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Style w:val="Strong"/>
          <w:rFonts w:asciiTheme="minorHAnsi" w:hAnsiTheme="minorHAnsi" w:cstheme="minorHAnsi"/>
        </w:rPr>
        <w:t>r = -0.360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This represents a moderate negative association.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Correlation results are descriptive and do not establish causation.</w:t>
      </w:r>
    </w:p>
    <w:p w:rsidR="00BF3C74" w:rsidRDefault="00BF3C74" w:rsidP="00BF3C74">
      <w:pPr>
        <w:pStyle w:val="Heading1"/>
      </w:pPr>
      <w:r>
        <w:t>6. HealthGap KPI Framework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The KPI framework converts the healthcare indicators into a structured analytical system.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The framework distinguishes between indicators that can contribute to the composite HealthGap Score and indicators that should be interpreted separately.</w:t>
      </w:r>
    </w:p>
    <w:p w:rsidR="00BF3C74" w:rsidRDefault="00BF3C74" w:rsidP="00BF3C74">
      <w:pPr>
        <w:pStyle w:val="Heading2"/>
      </w:pPr>
      <w:r>
        <w:t>6.1 Core KPI Framework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The project contains:</w:t>
      </w:r>
    </w:p>
    <w:p w:rsidR="00BF3C74" w:rsidRPr="0095085C" w:rsidRDefault="00BF3C74" w:rsidP="00157CB5">
      <w:pPr>
        <w:pStyle w:val="NormalWeb"/>
        <w:numPr>
          <w:ilvl w:val="0"/>
          <w:numId w:val="13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50 Core indicators</w:t>
      </w:r>
    </w:p>
    <w:p w:rsidR="00BF3C74" w:rsidRPr="0095085C" w:rsidRDefault="00BF3C74" w:rsidP="00157CB5">
      <w:pPr>
        <w:pStyle w:val="NormalWeb"/>
        <w:numPr>
          <w:ilvl w:val="0"/>
          <w:numId w:val="13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42 scoring indicators</w:t>
      </w:r>
    </w:p>
    <w:p w:rsidR="00BF3C74" w:rsidRPr="0095085C" w:rsidRDefault="00BF3C74" w:rsidP="00157CB5">
      <w:pPr>
        <w:pStyle w:val="NormalWeb"/>
        <w:numPr>
          <w:ilvl w:val="0"/>
          <w:numId w:val="13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27 Positive indicators</w:t>
      </w:r>
    </w:p>
    <w:p w:rsidR="00BF3C74" w:rsidRPr="0095085C" w:rsidRDefault="00BF3C74" w:rsidP="00157CB5">
      <w:pPr>
        <w:pStyle w:val="NormalWeb"/>
        <w:numPr>
          <w:ilvl w:val="0"/>
          <w:numId w:val="13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15 Negative indicators</w:t>
      </w:r>
    </w:p>
    <w:p w:rsidR="00BF3C74" w:rsidRPr="0095085C" w:rsidRDefault="00BF3C74" w:rsidP="0095085C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95085C">
        <w:rPr>
          <w:rFonts w:asciiTheme="minorHAnsi" w:hAnsiTheme="minorHAnsi" w:cstheme="minorHAnsi"/>
        </w:rPr>
        <w:t>Eight Core indicators were excluded from composite scoring because they required separate contextual interpretation.</w:t>
      </w:r>
    </w:p>
    <w:p w:rsidR="00BF3C74" w:rsidRDefault="00BF3C74" w:rsidP="00BF3C74">
      <w:pPr>
        <w:pStyle w:val="Heading2"/>
      </w:pPr>
      <w:r>
        <w:t>6.2 KPI Design Principle</w:t>
      </w:r>
    </w:p>
    <w:p w:rsidR="00BF3C74" w:rsidRPr="002C658D" w:rsidRDefault="00BF3C74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The scoring framework was designed so that higher final scores consistently represent stronger healthcare performance.</w:t>
      </w:r>
    </w:p>
    <w:p w:rsidR="0091636C" w:rsidRPr="002C658D" w:rsidRDefault="0091636C" w:rsidP="002C658D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2C658D">
        <w:rPr>
          <w:rFonts w:asciiTheme="minorHAnsi" w:hAnsiTheme="minorHAnsi" w:cstheme="minorHAnsi"/>
          <w:sz w:val="24"/>
          <w:szCs w:val="24"/>
        </w:rPr>
        <w:t>Positive indicators</w:t>
      </w:r>
    </w:p>
    <w:p w:rsidR="0091636C" w:rsidRPr="002C658D" w:rsidRDefault="0091636C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Higher values indicate better healthcare performance.</w:t>
      </w:r>
    </w:p>
    <w:p w:rsidR="0091636C" w:rsidRPr="002C658D" w:rsidRDefault="0091636C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Examples include:</w:t>
      </w:r>
    </w:p>
    <w:p w:rsidR="0091636C" w:rsidRPr="002C658D" w:rsidRDefault="00A43E66" w:rsidP="00157CB5">
      <w:pPr>
        <w:pStyle w:val="NormalWeb"/>
        <w:numPr>
          <w:ilvl w:val="0"/>
          <w:numId w:val="14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Institutional births</w:t>
      </w:r>
    </w:p>
    <w:p w:rsidR="0091636C" w:rsidRPr="002C658D" w:rsidRDefault="0091636C" w:rsidP="00157CB5">
      <w:pPr>
        <w:pStyle w:val="NormalWeb"/>
        <w:numPr>
          <w:ilvl w:val="0"/>
          <w:numId w:val="14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Skille</w:t>
      </w:r>
      <w:r w:rsidR="00A43E66">
        <w:rPr>
          <w:rFonts w:asciiTheme="minorHAnsi" w:hAnsiTheme="minorHAnsi" w:cstheme="minorHAnsi"/>
        </w:rPr>
        <w:t>d birth attendance</w:t>
      </w:r>
    </w:p>
    <w:p w:rsidR="0091636C" w:rsidRPr="002C658D" w:rsidRDefault="00A43E66" w:rsidP="00157CB5">
      <w:pPr>
        <w:pStyle w:val="NormalWeb"/>
        <w:numPr>
          <w:ilvl w:val="0"/>
          <w:numId w:val="14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Antenatal care</w:t>
      </w:r>
    </w:p>
    <w:p w:rsidR="0091636C" w:rsidRPr="002C658D" w:rsidRDefault="00A43E66" w:rsidP="00157CB5">
      <w:pPr>
        <w:pStyle w:val="NormalWeb"/>
        <w:numPr>
          <w:ilvl w:val="0"/>
          <w:numId w:val="14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Vaccination coverage</w:t>
      </w:r>
    </w:p>
    <w:p w:rsidR="0091636C" w:rsidRPr="002C658D" w:rsidRDefault="0091636C" w:rsidP="00157CB5">
      <w:pPr>
        <w:pStyle w:val="NormalWeb"/>
        <w:numPr>
          <w:ilvl w:val="0"/>
          <w:numId w:val="14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Adequate child nutrition</w:t>
      </w:r>
    </w:p>
    <w:p w:rsidR="0091636C" w:rsidRPr="002C658D" w:rsidRDefault="0091636C" w:rsidP="002C658D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2C658D">
        <w:rPr>
          <w:rFonts w:asciiTheme="minorHAnsi" w:hAnsiTheme="minorHAnsi" w:cstheme="minorHAnsi"/>
          <w:sz w:val="24"/>
          <w:szCs w:val="24"/>
        </w:rPr>
        <w:t>Negative indicators</w:t>
      </w:r>
    </w:p>
    <w:p w:rsidR="0091636C" w:rsidRPr="002C658D" w:rsidRDefault="0091636C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lastRenderedPageBreak/>
        <w:t>Higher values indicate greater healthcare risk or poorer outcomes.</w:t>
      </w:r>
    </w:p>
    <w:p w:rsidR="0091636C" w:rsidRPr="002C658D" w:rsidRDefault="0091636C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Examples include:</w:t>
      </w:r>
    </w:p>
    <w:p w:rsidR="0091636C" w:rsidRPr="002C658D" w:rsidRDefault="00A43E66" w:rsidP="00157CB5">
      <w:pPr>
        <w:pStyle w:val="NormalWeb"/>
        <w:numPr>
          <w:ilvl w:val="0"/>
          <w:numId w:val="15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Child stunting</w:t>
      </w:r>
    </w:p>
    <w:p w:rsidR="0091636C" w:rsidRPr="002C658D" w:rsidRDefault="00A43E66" w:rsidP="00157CB5">
      <w:pPr>
        <w:pStyle w:val="NormalWeb"/>
        <w:numPr>
          <w:ilvl w:val="0"/>
          <w:numId w:val="15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Child wasting</w:t>
      </w:r>
    </w:p>
    <w:p w:rsidR="0091636C" w:rsidRPr="002C658D" w:rsidRDefault="00A43E66" w:rsidP="00157CB5">
      <w:pPr>
        <w:pStyle w:val="NormalWeb"/>
        <w:numPr>
          <w:ilvl w:val="0"/>
          <w:numId w:val="15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Anaemia</w:t>
      </w:r>
    </w:p>
    <w:p w:rsidR="0091636C" w:rsidRPr="002C658D" w:rsidRDefault="0091636C" w:rsidP="00157CB5">
      <w:pPr>
        <w:pStyle w:val="NormalWeb"/>
        <w:numPr>
          <w:ilvl w:val="0"/>
          <w:numId w:val="15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Diarrhoea prevalence</w:t>
      </w:r>
    </w:p>
    <w:p w:rsidR="0091636C" w:rsidRPr="002C658D" w:rsidRDefault="0091636C" w:rsidP="00157CB5">
      <w:pPr>
        <w:pStyle w:val="NormalWeb"/>
        <w:numPr>
          <w:ilvl w:val="0"/>
          <w:numId w:val="15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Acute r</w:t>
      </w:r>
      <w:r w:rsidR="00A43E66">
        <w:rPr>
          <w:rFonts w:asciiTheme="minorHAnsi" w:hAnsiTheme="minorHAnsi" w:cstheme="minorHAnsi"/>
        </w:rPr>
        <w:t>espiratory infection prevalence</w:t>
      </w:r>
    </w:p>
    <w:p w:rsidR="0091636C" w:rsidRPr="002C658D" w:rsidRDefault="0091636C" w:rsidP="002C658D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2C658D">
        <w:rPr>
          <w:rFonts w:asciiTheme="minorHAnsi" w:hAnsiTheme="minorHAnsi" w:cstheme="minorHAnsi"/>
          <w:sz w:val="24"/>
          <w:szCs w:val="24"/>
        </w:rPr>
        <w:t>Context / Review indicators</w:t>
      </w:r>
    </w:p>
    <w:p w:rsidR="0091636C" w:rsidRPr="002C658D" w:rsidRDefault="0091636C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Certain indicators were retained for contextual analysis but were not used directly in the composite score because their interpretation required additional caution.</w:t>
      </w:r>
    </w:p>
    <w:p w:rsidR="0091636C" w:rsidRPr="002C658D" w:rsidRDefault="0091636C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 xml:space="preserve">The final scoring framework contained </w:t>
      </w:r>
      <w:r w:rsidRPr="002C658D">
        <w:rPr>
          <w:rStyle w:val="Strong"/>
          <w:rFonts w:asciiTheme="minorHAnsi" w:hAnsiTheme="minorHAnsi" w:cstheme="minorHAnsi"/>
        </w:rPr>
        <w:t>42 eligible indicators</w:t>
      </w:r>
      <w:r w:rsidRPr="002C658D">
        <w:rPr>
          <w:rFonts w:asciiTheme="minorHAnsi" w:hAnsiTheme="minorHAnsi" w:cstheme="minorHAnsi"/>
        </w:rPr>
        <w:t>.</w:t>
      </w:r>
    </w:p>
    <w:p w:rsidR="00BF3C74" w:rsidRDefault="00BF3C74" w:rsidP="00BF3C74">
      <w:pPr>
        <w:pStyle w:val="Heading1"/>
      </w:pPr>
      <w:r>
        <w:t>7. HealthGap Score &amp; District Ranking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The HealthGap Score is a project-specific analytical index designed to place multiple healthcare indicators on a common 0–100 scale.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It is not an official government healthcare index.</w:t>
      </w:r>
    </w:p>
    <w:p w:rsidR="005848A8" w:rsidRDefault="00BF3C74" w:rsidP="005848A8">
      <w:pPr>
        <w:pStyle w:val="Heading2"/>
      </w:pPr>
      <w:r>
        <w:t>7.1 Scoring Process</w:t>
      </w:r>
    </w:p>
    <w:p w:rsidR="005848A8" w:rsidRPr="00227266" w:rsidRDefault="005848A8" w:rsidP="002C658D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227266">
        <w:rPr>
          <w:rFonts w:asciiTheme="minorHAnsi" w:hAnsiTheme="minorHAnsi" w:cstheme="minorHAnsi"/>
          <w:sz w:val="24"/>
          <w:szCs w:val="24"/>
        </w:rPr>
        <w:t>Step 1 — Indicator eligibility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Only indicators classified as eligible for scoring were included.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 xml:space="preserve">Final scoring indicators: </w:t>
      </w:r>
      <w:r w:rsidRPr="002C658D">
        <w:rPr>
          <w:rStyle w:val="Strong"/>
          <w:rFonts w:asciiTheme="minorHAnsi" w:hAnsiTheme="minorHAnsi" w:cstheme="minorHAnsi"/>
        </w:rPr>
        <w:t>42</w:t>
      </w:r>
    </w:p>
    <w:p w:rsidR="005848A8" w:rsidRPr="002C658D" w:rsidRDefault="005848A8" w:rsidP="002C658D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2C658D">
        <w:rPr>
          <w:rFonts w:asciiTheme="minorHAnsi" w:hAnsiTheme="minorHAnsi" w:cstheme="minorHAnsi"/>
          <w:sz w:val="24"/>
          <w:szCs w:val="24"/>
        </w:rPr>
        <w:t>Step 2 — Direction adjustment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Indicators were interpreted according to their KPI direction.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For positive indicators, higher values represent better performance.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For negative indicators, higher values represent greater health risk and were therefore direction-adjusted before aggregation.</w:t>
      </w:r>
    </w:p>
    <w:p w:rsidR="005848A8" w:rsidRPr="002C658D" w:rsidRDefault="005848A8" w:rsidP="002C658D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2C658D">
        <w:rPr>
          <w:rFonts w:asciiTheme="minorHAnsi" w:hAnsiTheme="minorHAnsi" w:cstheme="minorHAnsi"/>
          <w:sz w:val="24"/>
          <w:szCs w:val="24"/>
        </w:rPr>
        <w:t>Step 3 — Normalization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Eligible indicators were transformed to a common 0–100 scale so that indicators measured in different units could be compared.</w:t>
      </w:r>
    </w:p>
    <w:p w:rsidR="005848A8" w:rsidRPr="002C658D" w:rsidRDefault="005848A8" w:rsidP="002C658D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2C658D">
        <w:rPr>
          <w:rFonts w:asciiTheme="minorHAnsi" w:hAnsiTheme="minorHAnsi" w:cstheme="minorHAnsi"/>
          <w:sz w:val="24"/>
          <w:szCs w:val="24"/>
        </w:rPr>
        <w:t>Step 4 — Equal weighting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Each eligible indicator received equal weight.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This was selected as a transparent baseline methodology rather than assigning subjective weights without external validation.</w:t>
      </w:r>
    </w:p>
    <w:p w:rsidR="005848A8" w:rsidRPr="002C658D" w:rsidRDefault="005848A8" w:rsidP="002C658D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2C658D">
        <w:rPr>
          <w:rFonts w:asciiTheme="minorHAnsi" w:hAnsiTheme="minorHAnsi" w:cstheme="minorHAnsi"/>
          <w:sz w:val="24"/>
          <w:szCs w:val="24"/>
        </w:rPr>
        <w:lastRenderedPageBreak/>
        <w:t>Step 5 — District aggregation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The normalized indicator scores were aggregated at district level to produce the HealthGap Score.</w:t>
      </w:r>
    </w:p>
    <w:p w:rsidR="005848A8" w:rsidRPr="002C658D" w:rsidRDefault="005848A8" w:rsidP="002C658D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2C658D">
        <w:rPr>
          <w:rFonts w:asciiTheme="minorHAnsi" w:hAnsiTheme="minorHAnsi" w:cstheme="minorHAnsi"/>
          <w:sz w:val="24"/>
          <w:szCs w:val="24"/>
        </w:rPr>
        <w:t>Step 6 — Coverage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The percentage of scoring indicators available for each district was calculated.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 xml:space="preserve">Districts with score coverage below the predefined threshold were flagged as </w:t>
      </w:r>
      <w:r w:rsidRPr="002C658D">
        <w:rPr>
          <w:rStyle w:val="Strong"/>
          <w:rFonts w:asciiTheme="minorHAnsi" w:hAnsiTheme="minorHAnsi" w:cstheme="minorHAnsi"/>
        </w:rPr>
        <w:t>Low Coverage</w:t>
      </w:r>
      <w:r w:rsidRPr="002C658D">
        <w:rPr>
          <w:rFonts w:asciiTheme="minorHAnsi" w:hAnsiTheme="minorHAnsi" w:cstheme="minorHAnsi"/>
        </w:rPr>
        <w:t>.</w:t>
      </w:r>
    </w:p>
    <w:p w:rsidR="005848A8" w:rsidRPr="002C658D" w:rsidRDefault="005848A8" w:rsidP="002C658D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2C658D">
        <w:rPr>
          <w:rFonts w:asciiTheme="minorHAnsi" w:hAnsiTheme="minorHAnsi" w:cstheme="minorHAnsi"/>
          <w:sz w:val="24"/>
          <w:szCs w:val="24"/>
        </w:rPr>
        <w:t>Step 7 — HealthGap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The analytical gap was calculated as: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Style w:val="Strong"/>
          <w:rFonts w:asciiTheme="minorHAnsi" w:hAnsiTheme="minorHAnsi" w:cstheme="minorHAnsi"/>
        </w:rPr>
        <w:t>HealthGap = 100 − HealthGap Score</w:t>
      </w:r>
    </w:p>
    <w:p w:rsidR="005848A8" w:rsidRPr="002C658D" w:rsidRDefault="005848A8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A higher HealthGap therefore indicates greater distance from the desired analytical benchmark.</w:t>
      </w:r>
    </w:p>
    <w:p w:rsidR="00BF3C74" w:rsidRDefault="00BF3C74" w:rsidP="00BF3C74">
      <w:pPr>
        <w:pStyle w:val="Heading2"/>
      </w:pPr>
      <w:r>
        <w:t>7.2 Final Scoring Results</w:t>
      </w:r>
    </w:p>
    <w:p w:rsidR="00BF3C74" w:rsidRPr="002C658D" w:rsidRDefault="00BF3C74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The final scoring framework contains 42 indicators.</w:t>
      </w:r>
    </w:p>
    <w:p w:rsidR="00BF3C74" w:rsidRPr="002C658D" w:rsidRDefault="00BF3C74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The HealthGap Score ranged from approximately:</w:t>
      </w:r>
      <w:r w:rsidR="005848A8" w:rsidRPr="002C658D">
        <w:rPr>
          <w:rFonts w:asciiTheme="minorHAnsi" w:hAnsiTheme="minorHAnsi" w:cstheme="minorHAnsi"/>
        </w:rPr>
        <w:t xml:space="preserve"> </w:t>
      </w:r>
      <w:r w:rsidRPr="002C658D">
        <w:rPr>
          <w:rStyle w:val="Strong"/>
          <w:rFonts w:asciiTheme="minorHAnsi" w:hAnsiTheme="minorHAnsi" w:cstheme="minorHAnsi"/>
        </w:rPr>
        <w:t>39.23 to 80.28</w:t>
      </w:r>
    </w:p>
    <w:p w:rsidR="00BF3C74" w:rsidRPr="002C658D" w:rsidRDefault="00BF3C74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Average HealthGap Score:</w:t>
      </w:r>
      <w:r w:rsidR="005848A8" w:rsidRPr="002C658D">
        <w:rPr>
          <w:rFonts w:asciiTheme="minorHAnsi" w:hAnsiTheme="minorHAnsi" w:cstheme="minorHAnsi"/>
        </w:rPr>
        <w:t xml:space="preserve"> </w:t>
      </w:r>
      <w:r w:rsidRPr="00FF62D1">
        <w:rPr>
          <w:rStyle w:val="Strong"/>
          <w:rFonts w:asciiTheme="minorHAnsi" w:hAnsiTheme="minorHAnsi" w:cstheme="minorHAnsi"/>
          <w:b w:val="0"/>
        </w:rPr>
        <w:t xml:space="preserve">approximately </w:t>
      </w:r>
      <w:r w:rsidRPr="002C658D">
        <w:rPr>
          <w:rStyle w:val="Strong"/>
          <w:rFonts w:asciiTheme="minorHAnsi" w:hAnsiTheme="minorHAnsi" w:cstheme="minorHAnsi"/>
        </w:rPr>
        <w:t>62.10</w:t>
      </w:r>
    </w:p>
    <w:p w:rsidR="00BF3C74" w:rsidRPr="002C658D" w:rsidRDefault="00BF3C74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693 districts had reliable score coverage.</w:t>
      </w:r>
    </w:p>
    <w:p w:rsidR="00BF3C74" w:rsidRPr="002C658D" w:rsidRDefault="00BF3C74" w:rsidP="002C658D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2C658D">
        <w:rPr>
          <w:rFonts w:asciiTheme="minorHAnsi" w:hAnsiTheme="minorHAnsi" w:cstheme="minorHAnsi"/>
        </w:rPr>
        <w:t>13 districts were classified as low coverage and should be interpreted cautiously.</w:t>
      </w:r>
    </w:p>
    <w:p w:rsidR="00BF3C74" w:rsidRDefault="00BF3C74" w:rsidP="00BF3C74">
      <w:pPr>
        <w:pStyle w:val="Heading2"/>
      </w:pPr>
      <w:r>
        <w:t>7.3 District Ranking</w:t>
      </w:r>
    </w:p>
    <w:p w:rsidR="005848A8" w:rsidRPr="00B86B20" w:rsidRDefault="005848A8" w:rsidP="00B86B20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86B20">
        <w:rPr>
          <w:rFonts w:asciiTheme="minorHAnsi" w:hAnsiTheme="minorHAnsi" w:cstheme="minorHAnsi"/>
        </w:rPr>
        <w:t>Districts with reliable score coverage were ranked from highest to lowest HealthGap Score.</w:t>
      </w:r>
    </w:p>
    <w:p w:rsidR="005848A8" w:rsidRPr="00B86B20" w:rsidRDefault="005848A8" w:rsidP="00B86B20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86B20">
        <w:rPr>
          <w:rFonts w:asciiTheme="minorHAnsi" w:hAnsiTheme="minorHAnsi" w:cstheme="minorHAnsi"/>
        </w:rPr>
        <w:t>Final results:</w:t>
      </w:r>
    </w:p>
    <w:p w:rsidR="005848A8" w:rsidRPr="00B86B20" w:rsidRDefault="005848A8" w:rsidP="00157CB5">
      <w:pPr>
        <w:pStyle w:val="NormalWeb"/>
        <w:numPr>
          <w:ilvl w:val="0"/>
          <w:numId w:val="16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86B20">
        <w:rPr>
          <w:rStyle w:val="Strong"/>
          <w:rFonts w:asciiTheme="minorHAnsi" w:eastAsiaTheme="majorEastAsia" w:hAnsiTheme="minorHAnsi" w:cstheme="minorHAnsi"/>
        </w:rPr>
        <w:t>693 reliable districts</w:t>
      </w:r>
    </w:p>
    <w:p w:rsidR="005848A8" w:rsidRPr="00B86B20" w:rsidRDefault="005848A8" w:rsidP="00157CB5">
      <w:pPr>
        <w:pStyle w:val="NormalWeb"/>
        <w:numPr>
          <w:ilvl w:val="0"/>
          <w:numId w:val="16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86B20">
        <w:rPr>
          <w:rStyle w:val="Strong"/>
          <w:rFonts w:asciiTheme="minorHAnsi" w:eastAsiaTheme="majorEastAsia" w:hAnsiTheme="minorHAnsi" w:cstheme="minorHAnsi"/>
        </w:rPr>
        <w:t>13 low-coverage districts</w:t>
      </w:r>
    </w:p>
    <w:p w:rsidR="00BF3C74" w:rsidRPr="00B86B20" w:rsidRDefault="00BF3C74" w:rsidP="00B86B20">
      <w:pPr>
        <w:pStyle w:val="NormalWeb"/>
        <w:spacing w:before="120" w:beforeAutospacing="0" w:after="120" w:afterAutospacing="0" w:line="276" w:lineRule="auto"/>
        <w:ind w:left="357"/>
        <w:jc w:val="both"/>
        <w:rPr>
          <w:rFonts w:asciiTheme="minorHAnsi" w:hAnsiTheme="minorHAnsi" w:cstheme="minorHAnsi"/>
        </w:rPr>
      </w:pPr>
      <w:r w:rsidRPr="00B86B20">
        <w:rPr>
          <w:rFonts w:asciiTheme="minorHAnsi" w:hAnsiTheme="minorHAnsi" w:cstheme="minorHAnsi"/>
        </w:rPr>
        <w:t>The ranking identified substantial variation between districts.</w:t>
      </w:r>
    </w:p>
    <w:p w:rsidR="00BF3C74" w:rsidRPr="00B86B20" w:rsidRDefault="00BF3C74" w:rsidP="00B86B20">
      <w:pPr>
        <w:pStyle w:val="NormalWeb"/>
        <w:spacing w:before="120" w:beforeAutospacing="0" w:after="120" w:afterAutospacing="0" w:line="276" w:lineRule="auto"/>
        <w:ind w:left="357"/>
        <w:jc w:val="both"/>
        <w:rPr>
          <w:rFonts w:asciiTheme="minorHAnsi" w:hAnsiTheme="minorHAnsi" w:cstheme="minorHAnsi"/>
        </w:rPr>
      </w:pPr>
      <w:r w:rsidRPr="00B86B20">
        <w:rPr>
          <w:rFonts w:asciiTheme="minorHAnsi" w:hAnsiTheme="minorHAnsi" w:cstheme="minorHAnsi"/>
        </w:rPr>
        <w:t>The highest-performing districts included Mahe, Puri, Jharsuguda, Kozhikode and Kasaragod.</w:t>
      </w:r>
    </w:p>
    <w:p w:rsidR="00BF3C74" w:rsidRPr="00B86B20" w:rsidRDefault="00BF3C74" w:rsidP="00B86B20">
      <w:pPr>
        <w:pStyle w:val="NormalWeb"/>
        <w:spacing w:before="120" w:beforeAutospacing="0" w:after="120" w:afterAutospacing="0" w:line="276" w:lineRule="auto"/>
        <w:ind w:left="357"/>
        <w:jc w:val="both"/>
        <w:rPr>
          <w:rFonts w:asciiTheme="minorHAnsi" w:hAnsiTheme="minorHAnsi" w:cstheme="minorHAnsi"/>
        </w:rPr>
      </w:pPr>
      <w:r w:rsidRPr="00B86B20">
        <w:rPr>
          <w:rFonts w:asciiTheme="minorHAnsi" w:hAnsiTheme="minorHAnsi" w:cstheme="minorHAnsi"/>
        </w:rPr>
        <w:t>The lowest-performing districts included Tuensang, Araria, Purnia, Deoghar and Kiphire.</w:t>
      </w:r>
    </w:p>
    <w:p w:rsidR="00BF3C74" w:rsidRPr="00B86B20" w:rsidRDefault="00BF3C74" w:rsidP="00B86B20">
      <w:pPr>
        <w:pStyle w:val="NormalWeb"/>
        <w:spacing w:before="120" w:beforeAutospacing="0" w:after="120" w:afterAutospacing="0" w:line="276" w:lineRule="auto"/>
        <w:ind w:left="357"/>
        <w:jc w:val="both"/>
        <w:rPr>
          <w:rFonts w:asciiTheme="minorHAnsi" w:hAnsiTheme="minorHAnsi" w:cstheme="minorHAnsi"/>
        </w:rPr>
      </w:pPr>
      <w:r w:rsidRPr="00B86B20">
        <w:rPr>
          <w:rFonts w:asciiTheme="minorHAnsi" w:hAnsiTheme="minorHAnsi" w:cstheme="minorHAnsi"/>
        </w:rPr>
        <w:t>Rankings should always be interpreted together with score coverage.</w:t>
      </w:r>
    </w:p>
    <w:p w:rsidR="005848A8" w:rsidRPr="00B86B20" w:rsidRDefault="005848A8" w:rsidP="00B86B20">
      <w:pPr>
        <w:pStyle w:val="NormalWeb"/>
        <w:spacing w:before="120" w:beforeAutospacing="0" w:after="120" w:afterAutospacing="0" w:line="276" w:lineRule="auto"/>
        <w:ind w:left="357"/>
        <w:jc w:val="both"/>
        <w:rPr>
          <w:rFonts w:asciiTheme="minorHAnsi" w:hAnsiTheme="minorHAnsi" w:cstheme="minorHAnsi"/>
        </w:rPr>
      </w:pPr>
      <w:r w:rsidRPr="00B86B20">
        <w:rPr>
          <w:rFonts w:asciiTheme="minorHAnsi" w:hAnsiTheme="minorHAnsi" w:cstheme="minorHAnsi"/>
        </w:rPr>
        <w:t>The ranking is intended to support prioritization and comparative analysis.</w:t>
      </w:r>
    </w:p>
    <w:p w:rsidR="005848A8" w:rsidRPr="00B86B20" w:rsidRDefault="005848A8" w:rsidP="00B86B20">
      <w:pPr>
        <w:pStyle w:val="NormalWeb"/>
        <w:spacing w:before="120" w:beforeAutospacing="0" w:after="120" w:afterAutospacing="0" w:line="276" w:lineRule="auto"/>
        <w:ind w:left="357"/>
        <w:jc w:val="both"/>
        <w:rPr>
          <w:rFonts w:asciiTheme="minorHAnsi" w:hAnsiTheme="minorHAnsi" w:cstheme="minorHAnsi"/>
        </w:rPr>
      </w:pPr>
      <w:r w:rsidRPr="00B86B20">
        <w:rPr>
          <w:rFonts w:asciiTheme="minorHAnsi" w:hAnsiTheme="minorHAnsi" w:cstheme="minorHAnsi"/>
        </w:rPr>
        <w:t>It should not be interpreted as an official government ranking or as a definitive measure of healthcare quality.</w:t>
      </w:r>
    </w:p>
    <w:p w:rsidR="00BF3C74" w:rsidRDefault="00BF3C74" w:rsidP="00BF3C74">
      <w:pPr>
        <w:pStyle w:val="Heading1"/>
      </w:pPr>
      <w:r>
        <w:lastRenderedPageBreak/>
        <w:t>8. State-Level Analysis</w:t>
      </w:r>
    </w:p>
    <w:p w:rsidR="00BF3C74" w:rsidRPr="00B86B20" w:rsidRDefault="00BF3C74" w:rsidP="00B86B20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86B20">
        <w:rPr>
          <w:rFonts w:asciiTheme="minorHAnsi" w:hAnsiTheme="minorHAnsi" w:cstheme="minorHAnsi"/>
        </w:rPr>
        <w:t>District scores were aggregated to provide a state/UT-level view of healthcare performance.</w:t>
      </w:r>
    </w:p>
    <w:p w:rsidR="00BF3C74" w:rsidRPr="00B86B20" w:rsidRDefault="00BF3C74" w:rsidP="00B86B20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86B20">
        <w:rPr>
          <w:rFonts w:asciiTheme="minorHAnsi" w:hAnsiTheme="minorHAnsi" w:cstheme="minorHAnsi"/>
        </w:rPr>
        <w:t>The final analysis covered all 36 states/UTs.</w:t>
      </w:r>
    </w:p>
    <w:p w:rsidR="00BF3C74" w:rsidRDefault="00BF3C74" w:rsidP="00BF3C74">
      <w:pPr>
        <w:pStyle w:val="Heading2"/>
      </w:pPr>
      <w:r>
        <w:t>8.1 State Performance</w:t>
      </w:r>
    </w:p>
    <w:p w:rsidR="00BF3C74" w:rsidRPr="00B86B20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86B20">
        <w:rPr>
          <w:rFonts w:asciiTheme="minorHAnsi" w:hAnsiTheme="minorHAnsi" w:cstheme="minorHAnsi"/>
        </w:rPr>
        <w:t>Puducherry recorded the highest average HealthGap Score in the final analysis.</w:t>
      </w:r>
    </w:p>
    <w:p w:rsidR="00BF3C74" w:rsidRPr="00B86B20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86B20">
        <w:rPr>
          <w:rFonts w:asciiTheme="minorHAnsi" w:hAnsiTheme="minorHAnsi" w:cstheme="minorHAnsi"/>
        </w:rPr>
        <w:t>Bihar recorded the lowest average HealthGap Score.</w:t>
      </w:r>
    </w:p>
    <w:p w:rsidR="00BF3C74" w:rsidRPr="00B86B20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86B20">
        <w:rPr>
          <w:rFonts w:asciiTheme="minorHAnsi" w:hAnsiTheme="minorHAnsi" w:cstheme="minorHAnsi"/>
        </w:rPr>
        <w:t>Other lower-performing states included Nagaland, Tripura, Meghalaya, Assam and Jharkhand.</w:t>
      </w:r>
    </w:p>
    <w:p w:rsidR="00BF3C74" w:rsidRDefault="00BF3C74" w:rsidP="00BF3C74">
      <w:pPr>
        <w:pStyle w:val="Heading2"/>
      </w:pPr>
      <w:r>
        <w:t>8.2 Within-State Disparity</w:t>
      </w:r>
    </w:p>
    <w:p w:rsidR="00BF3C74" w:rsidRPr="00B648D7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District performance was compared with the average performance of the corresponding state/UT.</w:t>
      </w:r>
    </w:p>
    <w:p w:rsidR="00BF3C74" w:rsidRPr="00B648D7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The analysis identified:</w:t>
      </w:r>
    </w:p>
    <w:p w:rsidR="00BF3C74" w:rsidRPr="00B648D7" w:rsidRDefault="00BF3C74" w:rsidP="00157CB5">
      <w:pPr>
        <w:pStyle w:val="NormalWeb"/>
        <w:numPr>
          <w:ilvl w:val="0"/>
          <w:numId w:val="17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361 districts above their state average</w:t>
      </w:r>
    </w:p>
    <w:p w:rsidR="00BF3C74" w:rsidRPr="00B648D7" w:rsidRDefault="00BF3C74" w:rsidP="00157CB5">
      <w:pPr>
        <w:pStyle w:val="NormalWeb"/>
        <w:numPr>
          <w:ilvl w:val="0"/>
          <w:numId w:val="17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329 districts below their state average</w:t>
      </w:r>
    </w:p>
    <w:p w:rsidR="00BF3C74" w:rsidRPr="00B648D7" w:rsidRDefault="00BF3C74" w:rsidP="00157CB5">
      <w:pPr>
        <w:pStyle w:val="NormalWeb"/>
        <w:numPr>
          <w:ilvl w:val="0"/>
          <w:numId w:val="17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3 districts approximately at their state average</w:t>
      </w:r>
    </w:p>
    <w:p w:rsidR="00BF3C74" w:rsidRPr="00B648D7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This demonstrates why district-level analysis is important even when state-level performance appears relatively strong.</w:t>
      </w:r>
    </w:p>
    <w:p w:rsidR="008740FB" w:rsidRPr="00B648D7" w:rsidRDefault="008740FB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The largest negative district-vs-state differences were therefore treated as priority signals for further investigation.</w:t>
      </w:r>
    </w:p>
    <w:p w:rsidR="00CB2F30" w:rsidRPr="00CB2F30" w:rsidRDefault="00CB2F30" w:rsidP="00B648D7">
      <w:pPr>
        <w:pStyle w:val="Heading1"/>
      </w:pPr>
      <w:r w:rsidRPr="00CB2F30">
        <w:t>9. Relationship Analysis</w:t>
      </w:r>
    </w:p>
    <w:p w:rsidR="00CB2F30" w:rsidRPr="00B648D7" w:rsidRDefault="00CB2F30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Selected healthcare indicators were evaluated using Pearson correlation to identify descriptive relationships.</w:t>
      </w:r>
    </w:p>
    <w:p w:rsidR="00CB2F30" w:rsidRPr="00B648D7" w:rsidRDefault="00CB2F30" w:rsidP="00B648D7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B648D7">
        <w:rPr>
          <w:rFonts w:asciiTheme="minorHAnsi" w:hAnsiTheme="minorHAnsi" w:cstheme="minorHAnsi"/>
          <w:sz w:val="24"/>
          <w:szCs w:val="24"/>
        </w:rPr>
        <w:t>Relationship 1</w:t>
      </w:r>
    </w:p>
    <w:p w:rsidR="00CB2F30" w:rsidRPr="00B648D7" w:rsidRDefault="00CB2F30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Style w:val="Strong"/>
          <w:rFonts w:asciiTheme="minorHAnsi" w:hAnsiTheme="minorHAnsi" w:cstheme="minorHAnsi"/>
        </w:rPr>
        <w:t>Maternal Care → Institutional Births</w:t>
      </w:r>
    </w:p>
    <w:p w:rsidR="00CB2F30" w:rsidRPr="00B648D7" w:rsidRDefault="00CB2F30" w:rsidP="00157CB5">
      <w:pPr>
        <w:pStyle w:val="NormalWeb"/>
        <w:numPr>
          <w:ilvl w:val="0"/>
          <w:numId w:val="18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Observations: 706</w:t>
      </w:r>
    </w:p>
    <w:p w:rsidR="00CB2F30" w:rsidRPr="00B648D7" w:rsidRDefault="00CB2F30" w:rsidP="00157CB5">
      <w:pPr>
        <w:pStyle w:val="NormalWeb"/>
        <w:numPr>
          <w:ilvl w:val="0"/>
          <w:numId w:val="18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 xml:space="preserve">Pearson correlation: </w:t>
      </w:r>
      <w:r w:rsidRPr="00B648D7">
        <w:rPr>
          <w:rStyle w:val="Strong"/>
          <w:rFonts w:asciiTheme="minorHAnsi" w:hAnsiTheme="minorHAnsi" w:cstheme="minorHAnsi"/>
        </w:rPr>
        <w:t>0.599</w:t>
      </w:r>
    </w:p>
    <w:p w:rsidR="00CB2F30" w:rsidRPr="00B648D7" w:rsidRDefault="00CB2F30" w:rsidP="00157CB5">
      <w:pPr>
        <w:pStyle w:val="NormalWeb"/>
        <w:numPr>
          <w:ilvl w:val="0"/>
          <w:numId w:val="18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Interpretation: Strong positive association</w:t>
      </w:r>
    </w:p>
    <w:p w:rsidR="00CB2F30" w:rsidRPr="00B648D7" w:rsidRDefault="00CB2F30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Districts with stronger antenatal maternal-care coverage tended to also have higher institutional-birth levels.</w:t>
      </w:r>
    </w:p>
    <w:p w:rsidR="00CB2F30" w:rsidRPr="00B648D7" w:rsidRDefault="00CB2F30" w:rsidP="00B648D7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B648D7">
        <w:rPr>
          <w:rFonts w:asciiTheme="minorHAnsi" w:hAnsiTheme="minorHAnsi" w:cstheme="minorHAnsi"/>
          <w:sz w:val="24"/>
          <w:szCs w:val="24"/>
        </w:rPr>
        <w:t>Relationship 2</w:t>
      </w:r>
    </w:p>
    <w:p w:rsidR="00CB2F30" w:rsidRPr="00B648D7" w:rsidRDefault="00CB2F30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Style w:val="Strong"/>
          <w:rFonts w:asciiTheme="minorHAnsi" w:hAnsiTheme="minorHAnsi" w:cstheme="minorHAnsi"/>
        </w:rPr>
        <w:lastRenderedPageBreak/>
        <w:t>Maternal Care → Child Stunting</w:t>
      </w:r>
    </w:p>
    <w:p w:rsidR="00CB2F30" w:rsidRPr="00B648D7" w:rsidRDefault="00CB2F30" w:rsidP="00157CB5">
      <w:pPr>
        <w:pStyle w:val="NormalWeb"/>
        <w:numPr>
          <w:ilvl w:val="0"/>
          <w:numId w:val="19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Observations: 706</w:t>
      </w:r>
    </w:p>
    <w:p w:rsidR="00CB2F30" w:rsidRPr="00B648D7" w:rsidRDefault="00CB2F30" w:rsidP="00157CB5">
      <w:pPr>
        <w:pStyle w:val="NormalWeb"/>
        <w:numPr>
          <w:ilvl w:val="0"/>
          <w:numId w:val="19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 xml:space="preserve">Pearson correlation: </w:t>
      </w:r>
      <w:r w:rsidRPr="00B648D7">
        <w:rPr>
          <w:rStyle w:val="Strong"/>
          <w:rFonts w:asciiTheme="minorHAnsi" w:hAnsiTheme="minorHAnsi" w:cstheme="minorHAnsi"/>
        </w:rPr>
        <w:t>-0.360</w:t>
      </w:r>
    </w:p>
    <w:p w:rsidR="00CB2F30" w:rsidRPr="00B648D7" w:rsidRDefault="00CB2F30" w:rsidP="00157CB5">
      <w:pPr>
        <w:pStyle w:val="NormalWeb"/>
        <w:numPr>
          <w:ilvl w:val="0"/>
          <w:numId w:val="19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Interpretation: Moderate negative association</w:t>
      </w:r>
    </w:p>
    <w:p w:rsidR="00CB2F30" w:rsidRPr="00B648D7" w:rsidRDefault="00CB2F30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Higher maternal-care performance was associated with lower child-stunting levels.</w:t>
      </w:r>
    </w:p>
    <w:p w:rsidR="00CB2F30" w:rsidRPr="00B648D7" w:rsidRDefault="00CB2F30" w:rsidP="00B648D7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B648D7">
        <w:rPr>
          <w:rFonts w:asciiTheme="minorHAnsi" w:hAnsiTheme="minorHAnsi" w:cstheme="minorHAnsi"/>
          <w:sz w:val="24"/>
          <w:szCs w:val="24"/>
        </w:rPr>
        <w:t>Important analytical limitation</w:t>
      </w:r>
    </w:p>
    <w:p w:rsidR="00CB2F30" w:rsidRPr="00B648D7" w:rsidRDefault="00CB2F30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Correlation identifies association, not causation.</w:t>
      </w:r>
    </w:p>
    <w:p w:rsidR="00CB2F30" w:rsidRPr="00B648D7" w:rsidRDefault="00CB2F30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The results should therefore be interpreted as descriptive evidence supporting further investigation rather than proof that one healthcare indicator directly causes another.</w:t>
      </w:r>
    </w:p>
    <w:p w:rsidR="00BF3C74" w:rsidRDefault="00CB2F30" w:rsidP="00BF3C74">
      <w:pPr>
        <w:pStyle w:val="Heading1"/>
      </w:pPr>
      <w:r>
        <w:t xml:space="preserve">10. </w:t>
      </w:r>
      <w:r w:rsidR="00BF3C74">
        <w:t>Power Query Transformation</w:t>
      </w:r>
    </w:p>
    <w:p w:rsidR="00BF3C74" w:rsidRPr="00B648D7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Power Query was used to perform the final transformation and preparation of the analytical tables before they were loaded into the Power BI data model.</w:t>
      </w:r>
    </w:p>
    <w:p w:rsidR="00BF3C74" w:rsidRPr="00B648D7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The transformation workflow included:</w:t>
      </w:r>
    </w:p>
    <w:p w:rsidR="00BF3C74" w:rsidRPr="00B648D7" w:rsidRDefault="00BF3C74" w:rsidP="00157CB5">
      <w:pPr>
        <w:pStyle w:val="NormalWeb"/>
        <w:numPr>
          <w:ilvl w:val="0"/>
          <w:numId w:val="2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Loading the prepared CSV datasets.</w:t>
      </w:r>
    </w:p>
    <w:p w:rsidR="00BF3C74" w:rsidRPr="00B648D7" w:rsidRDefault="00BF3C74" w:rsidP="00157CB5">
      <w:pPr>
        <w:pStyle w:val="NormalWeb"/>
        <w:numPr>
          <w:ilvl w:val="0"/>
          <w:numId w:val="2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Reviewing column data types.</w:t>
      </w:r>
    </w:p>
    <w:p w:rsidR="00BF3C74" w:rsidRPr="00B648D7" w:rsidRDefault="00BF3C74" w:rsidP="00157CB5">
      <w:pPr>
        <w:pStyle w:val="NormalWeb"/>
        <w:numPr>
          <w:ilvl w:val="0"/>
          <w:numId w:val="2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Ensuring geographic fields were treated as text.</w:t>
      </w:r>
    </w:p>
    <w:p w:rsidR="00BF3C74" w:rsidRPr="00B648D7" w:rsidRDefault="00BF3C74" w:rsidP="00157CB5">
      <w:pPr>
        <w:pStyle w:val="NormalWeb"/>
        <w:numPr>
          <w:ilvl w:val="0"/>
          <w:numId w:val="2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Ensuring indicator values were appropriately typed.</w:t>
      </w:r>
    </w:p>
    <w:p w:rsidR="00BF3C74" w:rsidRPr="00B648D7" w:rsidRDefault="00BF3C74" w:rsidP="00157CB5">
      <w:pPr>
        <w:pStyle w:val="NormalWeb"/>
        <w:numPr>
          <w:ilvl w:val="0"/>
          <w:numId w:val="2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Preparing the analytical tables for modelling.</w:t>
      </w:r>
    </w:p>
    <w:p w:rsidR="00BF3C74" w:rsidRPr="00B648D7" w:rsidRDefault="00BF3C74" w:rsidP="00157CB5">
      <w:pPr>
        <w:pStyle w:val="NormalWeb"/>
        <w:numPr>
          <w:ilvl w:val="0"/>
          <w:numId w:val="2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Removing unnecessary fields where appropriate.</w:t>
      </w:r>
    </w:p>
    <w:p w:rsidR="00BF3C74" w:rsidRPr="00B648D7" w:rsidRDefault="00BF3C74" w:rsidP="00157CB5">
      <w:pPr>
        <w:pStyle w:val="NormalWeb"/>
        <w:numPr>
          <w:ilvl w:val="0"/>
          <w:numId w:val="2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Validating the resulting table structures.</w:t>
      </w:r>
    </w:p>
    <w:p w:rsidR="00BF3C74" w:rsidRPr="00B648D7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The objective was to separate data preparation from visualization and maintain a reproducible transformation workflow.</w:t>
      </w:r>
    </w:p>
    <w:p w:rsidR="00BF3C74" w:rsidRDefault="00FF42EB" w:rsidP="00BF3C74">
      <w:pPr>
        <w:pStyle w:val="Heading1"/>
      </w:pPr>
      <w:r>
        <w:t>11</w:t>
      </w:r>
      <w:r w:rsidR="00BF3C74">
        <w:t>. Power BI Data Model</w:t>
      </w:r>
    </w:p>
    <w:p w:rsidR="00BF3C74" w:rsidRPr="00B648D7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The Power BI model was designed to separate geographic information, indicator observations, scoring results and indicator metadata.</w:t>
      </w:r>
    </w:p>
    <w:p w:rsidR="00BF3C74" w:rsidRDefault="00FF42EB" w:rsidP="00BF3C74">
      <w:pPr>
        <w:pStyle w:val="Heading2"/>
      </w:pPr>
      <w:r>
        <w:t>11</w:t>
      </w:r>
      <w:r w:rsidR="00BF3C74">
        <w:t>.1 Main Tables</w:t>
      </w:r>
    </w:p>
    <w:p w:rsidR="00BF3C74" w:rsidRPr="00B648D7" w:rsidRDefault="00BF3C74" w:rsidP="00B648D7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B648D7">
        <w:rPr>
          <w:rFonts w:asciiTheme="minorHAnsi" w:hAnsiTheme="minorHAnsi" w:cstheme="minorHAnsi"/>
          <w:sz w:val="24"/>
          <w:szCs w:val="24"/>
        </w:rPr>
        <w:t>Geography</w:t>
      </w:r>
    </w:p>
    <w:p w:rsidR="00BF3C74" w:rsidRPr="00B648D7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Contains the geographic dimension used to identify districts and states/UTs.</w:t>
      </w:r>
    </w:p>
    <w:p w:rsidR="00BF3C74" w:rsidRPr="00B648D7" w:rsidRDefault="00BF3C74" w:rsidP="00B648D7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B648D7">
        <w:rPr>
          <w:rFonts w:asciiTheme="minorHAnsi" w:hAnsiTheme="minorHAnsi" w:cstheme="minorHAnsi"/>
          <w:sz w:val="24"/>
          <w:szCs w:val="24"/>
        </w:rPr>
        <w:t>Health Indicators</w:t>
      </w:r>
    </w:p>
    <w:p w:rsidR="00BF3C74" w:rsidRPr="00B648D7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Contains indicator-level observations.</w:t>
      </w:r>
    </w:p>
    <w:p w:rsidR="00BF3C74" w:rsidRPr="00B648D7" w:rsidRDefault="00BF3C74" w:rsidP="00B648D7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B648D7">
        <w:rPr>
          <w:rFonts w:asciiTheme="minorHAnsi" w:hAnsiTheme="minorHAnsi" w:cstheme="minorHAnsi"/>
          <w:sz w:val="24"/>
          <w:szCs w:val="24"/>
        </w:rPr>
        <w:lastRenderedPageBreak/>
        <w:t>District Scores</w:t>
      </w:r>
    </w:p>
    <w:p w:rsidR="00BF3C74" w:rsidRPr="00B648D7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Contains district-level HealthGap scores, rankings, coverage and related performance measures.</w:t>
      </w:r>
    </w:p>
    <w:p w:rsidR="00BF3C74" w:rsidRPr="00B648D7" w:rsidRDefault="00BF3C74" w:rsidP="00B648D7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B648D7">
        <w:rPr>
          <w:rFonts w:asciiTheme="minorHAnsi" w:hAnsiTheme="minorHAnsi" w:cstheme="minorHAnsi"/>
          <w:sz w:val="24"/>
          <w:szCs w:val="24"/>
        </w:rPr>
        <w:t>Indicator Master</w:t>
      </w:r>
    </w:p>
    <w:p w:rsidR="00FF42EB" w:rsidRPr="00B648D7" w:rsidRDefault="00FF42EB" w:rsidP="00B648D7">
      <w:pPr>
        <w:pStyle w:val="isselectedend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Indicator metadata including category, quality, selection and KPI direction.</w:t>
      </w:r>
    </w:p>
    <w:p w:rsidR="00BF3C74" w:rsidRDefault="00FF42EB" w:rsidP="00BF3C74">
      <w:pPr>
        <w:pStyle w:val="Heading2"/>
      </w:pPr>
      <w:r>
        <w:t>11</w:t>
      </w:r>
      <w:r w:rsidR="00BF3C74">
        <w:t>.2 Relationships</w:t>
      </w:r>
    </w:p>
    <w:p w:rsidR="00BF3C74" w:rsidRPr="00B648D7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The model uses the following relationships:</w:t>
      </w:r>
    </w:p>
    <w:p w:rsidR="00BF3C74" w:rsidRPr="00B648D7" w:rsidRDefault="00BF3C74" w:rsidP="00157CB5">
      <w:pPr>
        <w:pStyle w:val="NormalWeb"/>
        <w:numPr>
          <w:ilvl w:val="0"/>
          <w:numId w:val="21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Geography → Health Indicators: 1:*</w:t>
      </w:r>
    </w:p>
    <w:p w:rsidR="00BF3C74" w:rsidRPr="00B648D7" w:rsidRDefault="00BF3C74" w:rsidP="00157CB5">
      <w:pPr>
        <w:pStyle w:val="NormalWeb"/>
        <w:numPr>
          <w:ilvl w:val="0"/>
          <w:numId w:val="21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Geography → District Scores: 1:*</w:t>
      </w:r>
    </w:p>
    <w:p w:rsidR="00BF3C74" w:rsidRPr="00B648D7" w:rsidRDefault="00BF3C74" w:rsidP="00157CB5">
      <w:pPr>
        <w:pStyle w:val="NormalWeb"/>
        <w:numPr>
          <w:ilvl w:val="0"/>
          <w:numId w:val="21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Indicator Master → Health Indicators: 1:*</w:t>
      </w:r>
    </w:p>
    <w:p w:rsidR="00BF3C74" w:rsidRPr="00B648D7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Cross-filter direction is Single.</w:t>
      </w:r>
    </w:p>
    <w:p w:rsidR="00BF3C74" w:rsidRPr="00B648D7" w:rsidRDefault="00BF3C74" w:rsidP="00B648D7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B648D7">
        <w:rPr>
          <w:rFonts w:asciiTheme="minorHAnsi" w:hAnsiTheme="minorHAnsi" w:cstheme="minorHAnsi"/>
        </w:rPr>
        <w:t>No unnecessary relationships were retained.</w:t>
      </w:r>
    </w:p>
    <w:p w:rsidR="00BF3C74" w:rsidRDefault="00BF3C74" w:rsidP="00BF3C74">
      <w:pPr>
        <w:pStyle w:val="Heading1"/>
      </w:pPr>
      <w:r>
        <w:t>1</w:t>
      </w:r>
      <w:r w:rsidR="00FF42EB">
        <w:t>2</w:t>
      </w:r>
      <w:r>
        <w:t>. Power BI Dashboard</w:t>
      </w:r>
    </w:p>
    <w:p w:rsidR="00917855" w:rsidRPr="00A028FA" w:rsidRDefault="00BF3C74" w:rsidP="00917855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The Power BI dashboard converts the analytical results into an interactive decision-support interface.</w:t>
      </w:r>
    </w:p>
    <w:p w:rsidR="00BF3C74" w:rsidRPr="00A028FA" w:rsidRDefault="00BF3C74" w:rsidP="00A028F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The dashboard allows users to examine healthcare performance at district and state levels.</w:t>
      </w:r>
    </w:p>
    <w:p w:rsidR="00BF3C74" w:rsidRDefault="00FF42EB" w:rsidP="00BF3C74">
      <w:pPr>
        <w:pStyle w:val="Heading2"/>
      </w:pPr>
      <w:r>
        <w:t>12</w:t>
      </w:r>
      <w:r w:rsidR="00BF3C74">
        <w:t>.1 Dashboard Capabilities</w:t>
      </w:r>
    </w:p>
    <w:p w:rsidR="00BF3C74" w:rsidRPr="00A028FA" w:rsidRDefault="00BF3C74" w:rsidP="00A028F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The dashboard provides:</w:t>
      </w:r>
    </w:p>
    <w:p w:rsidR="00BF3C74" w:rsidRPr="00A028FA" w:rsidRDefault="00BF3C74" w:rsidP="00157CB5">
      <w:pPr>
        <w:pStyle w:val="NormalWeb"/>
        <w:numPr>
          <w:ilvl w:val="0"/>
          <w:numId w:val="22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HealthGap Score overview</w:t>
      </w:r>
    </w:p>
    <w:p w:rsidR="00BF3C74" w:rsidRPr="00A028FA" w:rsidRDefault="00BF3C74" w:rsidP="00157CB5">
      <w:pPr>
        <w:pStyle w:val="NormalWeb"/>
        <w:numPr>
          <w:ilvl w:val="0"/>
          <w:numId w:val="22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District rankings</w:t>
      </w:r>
    </w:p>
    <w:p w:rsidR="00BF3C74" w:rsidRPr="00A028FA" w:rsidRDefault="00BF3C74" w:rsidP="00157CB5">
      <w:pPr>
        <w:pStyle w:val="NormalWeb"/>
        <w:numPr>
          <w:ilvl w:val="0"/>
          <w:numId w:val="22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State-level comparison</w:t>
      </w:r>
    </w:p>
    <w:p w:rsidR="00BF3C74" w:rsidRPr="00A028FA" w:rsidRDefault="00BF3C74" w:rsidP="00157CB5">
      <w:pPr>
        <w:pStyle w:val="NormalWeb"/>
        <w:numPr>
          <w:ilvl w:val="0"/>
          <w:numId w:val="22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District vs State Average analysis</w:t>
      </w:r>
    </w:p>
    <w:p w:rsidR="00BF3C74" w:rsidRPr="00A028FA" w:rsidRDefault="00BF3C74" w:rsidP="00157CB5">
      <w:pPr>
        <w:pStyle w:val="NormalWeb"/>
        <w:numPr>
          <w:ilvl w:val="0"/>
          <w:numId w:val="22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Score coverage</w:t>
      </w:r>
    </w:p>
    <w:p w:rsidR="00BF3C74" w:rsidRPr="00A028FA" w:rsidRDefault="00BF3C74" w:rsidP="00157CB5">
      <w:pPr>
        <w:pStyle w:val="NormalWeb"/>
        <w:numPr>
          <w:ilvl w:val="0"/>
          <w:numId w:val="22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Healthcare indicator analysis</w:t>
      </w:r>
    </w:p>
    <w:p w:rsidR="00BF3C74" w:rsidRPr="00A028FA" w:rsidRDefault="00BF3C74" w:rsidP="00157CB5">
      <w:pPr>
        <w:pStyle w:val="NormalWeb"/>
        <w:numPr>
          <w:ilvl w:val="0"/>
          <w:numId w:val="22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Interactive geographic and categorical filtering</w:t>
      </w:r>
    </w:p>
    <w:p w:rsidR="00BF3C74" w:rsidRDefault="00FF42EB" w:rsidP="00BF3C74">
      <w:pPr>
        <w:pStyle w:val="Heading2"/>
      </w:pPr>
      <w:r>
        <w:t>12</w:t>
      </w:r>
      <w:r w:rsidR="00BF3C74">
        <w:t>.2 Dashboard Design Objective</w:t>
      </w:r>
    </w:p>
    <w:p w:rsidR="00BF3C74" w:rsidRPr="00A028FA" w:rsidRDefault="00BF3C74" w:rsidP="00A028F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The dashboard was designed to answer three primary questions:</w:t>
      </w:r>
    </w:p>
    <w:p w:rsidR="00BF3C74" w:rsidRPr="00A028FA" w:rsidRDefault="00BF3C74" w:rsidP="00157CB5">
      <w:pPr>
        <w:pStyle w:val="NormalWeb"/>
        <w:numPr>
          <w:ilvl w:val="0"/>
          <w:numId w:val="23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Where are the largest healthcare gaps?</w:t>
      </w:r>
    </w:p>
    <w:p w:rsidR="00BF3C74" w:rsidRPr="00A028FA" w:rsidRDefault="00BF3C74" w:rsidP="00157CB5">
      <w:pPr>
        <w:pStyle w:val="NormalWeb"/>
        <w:numPr>
          <w:ilvl w:val="0"/>
          <w:numId w:val="23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Which districts and states perform better or worse?</w:t>
      </w:r>
    </w:p>
    <w:p w:rsidR="00BF3C74" w:rsidRPr="00A028FA" w:rsidRDefault="00BF3C74" w:rsidP="00157CB5">
      <w:pPr>
        <w:pStyle w:val="NormalWeb"/>
        <w:numPr>
          <w:ilvl w:val="0"/>
          <w:numId w:val="23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lastRenderedPageBreak/>
        <w:t>Which healthcare indicators should receive further investigation?</w:t>
      </w:r>
    </w:p>
    <w:p w:rsidR="00BF3C74" w:rsidRDefault="00FF42EB" w:rsidP="00BF3C74">
      <w:pPr>
        <w:pStyle w:val="Heading2"/>
      </w:pPr>
      <w:r>
        <w:t>12</w:t>
      </w:r>
      <w:r w:rsidR="00BF3C74">
        <w:t>.3 Dashboard Screenshot</w:t>
      </w:r>
    </w:p>
    <w:p w:rsidR="008227E8" w:rsidRPr="008227E8" w:rsidRDefault="00917855" w:rsidP="008227E8">
      <w:r>
        <w:rPr>
          <w:noProof/>
          <w:lang w:eastAsia="en-IN"/>
        </w:rPr>
        <w:drawing>
          <wp:inline distT="0" distB="0" distL="0" distR="0">
            <wp:extent cx="5734050" cy="34956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age-1 HealthGap Overview.pn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79"/>
                    <a:stretch/>
                  </pic:blipFill>
                  <pic:spPr bwMode="auto">
                    <a:xfrm>
                      <a:off x="0" y="0"/>
                      <a:ext cx="5734050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7855" w:rsidRPr="00917855" w:rsidRDefault="00917855" w:rsidP="00917855">
      <w:pPr>
        <w:pStyle w:val="NormalWeb"/>
        <w:spacing w:line="276" w:lineRule="auto"/>
        <w:jc w:val="center"/>
        <w:rPr>
          <w:rFonts w:asciiTheme="minorHAnsi" w:hAnsiTheme="minorHAnsi" w:cstheme="minorHAnsi"/>
        </w:rPr>
      </w:pPr>
      <w:r w:rsidRPr="00917855">
        <w:rPr>
          <w:rStyle w:val="Strong"/>
          <w:rFonts w:asciiTheme="minorHAnsi" w:hAnsiTheme="minorHAnsi" w:cstheme="minorHAnsi"/>
        </w:rPr>
        <w:t>Figure 1. HealthGap India Power BI Dashboard</w:t>
      </w:r>
    </w:p>
    <w:p w:rsidR="00BF3C74" w:rsidRDefault="00FF42EB" w:rsidP="00BF3C74">
      <w:pPr>
        <w:pStyle w:val="Heading1"/>
      </w:pPr>
      <w:r>
        <w:t>13</w:t>
      </w:r>
      <w:r w:rsidR="00BF3C74">
        <w:t>. Business Insights</w:t>
      </w:r>
    </w:p>
    <w:p w:rsidR="00BF3C74" w:rsidRPr="00A028FA" w:rsidRDefault="00BF3C74" w:rsidP="00A028F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The analysis identified several important findings.</w:t>
      </w:r>
    </w:p>
    <w:p w:rsidR="001913CA" w:rsidRPr="00A028FA" w:rsidRDefault="001913CA" w:rsidP="00A028FA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A028FA">
        <w:rPr>
          <w:rFonts w:asciiTheme="minorHAnsi" w:hAnsiTheme="minorHAnsi" w:cstheme="minorHAnsi"/>
          <w:sz w:val="24"/>
          <w:szCs w:val="24"/>
        </w:rPr>
        <w:t>Insight 1 — Large district-level variation exists</w:t>
      </w:r>
    </w:p>
    <w:p w:rsidR="001913CA" w:rsidRPr="00A028FA" w:rsidRDefault="001913CA" w:rsidP="00A028F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 xml:space="preserve">Reliable district scores ranged from </w:t>
      </w:r>
      <w:r w:rsidRPr="00A028FA">
        <w:rPr>
          <w:rStyle w:val="Strong"/>
          <w:rFonts w:asciiTheme="minorHAnsi" w:hAnsiTheme="minorHAnsi" w:cstheme="minorHAnsi"/>
        </w:rPr>
        <w:t>39.23 to 80.28</w:t>
      </w:r>
      <w:r w:rsidRPr="00A028FA">
        <w:rPr>
          <w:rFonts w:asciiTheme="minorHAnsi" w:hAnsiTheme="minorHAnsi" w:cstheme="minorHAnsi"/>
        </w:rPr>
        <w:t>, demonstrating substantial variation in healthcare performance.</w:t>
      </w:r>
    </w:p>
    <w:p w:rsidR="001913CA" w:rsidRPr="00A028FA" w:rsidRDefault="001913CA" w:rsidP="00A028FA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A028FA">
        <w:rPr>
          <w:rFonts w:asciiTheme="minorHAnsi" w:hAnsiTheme="minorHAnsi" w:cstheme="minorHAnsi"/>
          <w:sz w:val="24"/>
          <w:szCs w:val="24"/>
        </w:rPr>
        <w:t>Insight 2 — Bihar requires particular attention</w:t>
      </w:r>
    </w:p>
    <w:p w:rsidR="001913CA" w:rsidRPr="00A028FA" w:rsidRDefault="001913CA" w:rsidP="00A028F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Bihar recorded the lowest average State/UT HealthGap performance in the final analysis.</w:t>
      </w:r>
    </w:p>
    <w:p w:rsidR="001913CA" w:rsidRPr="00A028FA" w:rsidRDefault="001913CA" w:rsidP="00A028F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This indicates a need for deeper indicator-level investigation rather than assuming that all districts face identical challenges.</w:t>
      </w:r>
    </w:p>
    <w:p w:rsidR="001913CA" w:rsidRPr="00A028FA" w:rsidRDefault="001913CA" w:rsidP="00A028FA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A028FA">
        <w:rPr>
          <w:rFonts w:asciiTheme="minorHAnsi" w:hAnsiTheme="minorHAnsi" w:cstheme="minorHAnsi"/>
          <w:sz w:val="24"/>
          <w:szCs w:val="24"/>
        </w:rPr>
        <w:t>Insight 3 — Within-state disparities are significant</w:t>
      </w:r>
    </w:p>
    <w:p w:rsidR="001913CA" w:rsidRPr="00A028FA" w:rsidRDefault="001913CA" w:rsidP="00A028F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329 districts performed below their State/UT average.</w:t>
      </w:r>
    </w:p>
    <w:p w:rsidR="001913CA" w:rsidRPr="00A028FA" w:rsidRDefault="001913CA" w:rsidP="00A028F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This demonstrates why state-level averages alone are insufficient for district-level prioritization.</w:t>
      </w:r>
    </w:p>
    <w:p w:rsidR="001913CA" w:rsidRPr="00A028FA" w:rsidRDefault="001913CA" w:rsidP="00A028FA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A028FA">
        <w:rPr>
          <w:rFonts w:asciiTheme="minorHAnsi" w:hAnsiTheme="minorHAnsi" w:cstheme="minorHAnsi"/>
          <w:sz w:val="24"/>
          <w:szCs w:val="24"/>
        </w:rPr>
        <w:t>Insight 4 — Maternal care is strongly associated with institutional births</w:t>
      </w:r>
    </w:p>
    <w:p w:rsidR="001913CA" w:rsidRPr="00A028FA" w:rsidRDefault="001913CA" w:rsidP="00A028F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lastRenderedPageBreak/>
        <w:t xml:space="preserve">The correlation between maternal care and institutional births was </w:t>
      </w:r>
      <w:r w:rsidRPr="00A028FA">
        <w:rPr>
          <w:rStyle w:val="Strong"/>
          <w:rFonts w:asciiTheme="minorHAnsi" w:hAnsiTheme="minorHAnsi" w:cstheme="minorHAnsi"/>
        </w:rPr>
        <w:t>0.599</w:t>
      </w:r>
      <w:r w:rsidRPr="00A028FA">
        <w:rPr>
          <w:rFonts w:asciiTheme="minorHAnsi" w:hAnsiTheme="minorHAnsi" w:cstheme="minorHAnsi"/>
        </w:rPr>
        <w:t>, indicating a strong positive association.</w:t>
      </w:r>
    </w:p>
    <w:p w:rsidR="001913CA" w:rsidRPr="00A028FA" w:rsidRDefault="001913CA" w:rsidP="00A028FA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A028FA">
        <w:rPr>
          <w:rFonts w:asciiTheme="minorHAnsi" w:hAnsiTheme="minorHAnsi" w:cstheme="minorHAnsi"/>
          <w:sz w:val="24"/>
          <w:szCs w:val="24"/>
        </w:rPr>
        <w:t>Insight 5 — Maternal care and child nutrition are related</w:t>
      </w:r>
    </w:p>
    <w:p w:rsidR="001913CA" w:rsidRPr="00A028FA" w:rsidRDefault="001913CA" w:rsidP="00A028F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 xml:space="preserve">Maternal Care → Child Stunting produced a correlation of </w:t>
      </w:r>
      <w:r w:rsidRPr="00A028FA">
        <w:rPr>
          <w:rStyle w:val="Strong"/>
          <w:rFonts w:asciiTheme="minorHAnsi" w:hAnsiTheme="minorHAnsi" w:cstheme="minorHAnsi"/>
        </w:rPr>
        <w:t>-0.360</w:t>
      </w:r>
      <w:r w:rsidRPr="00A028FA">
        <w:rPr>
          <w:rFonts w:asciiTheme="minorHAnsi" w:hAnsiTheme="minorHAnsi" w:cstheme="minorHAnsi"/>
        </w:rPr>
        <w:t>, indicating a moderate inverse association.</w:t>
      </w:r>
    </w:p>
    <w:p w:rsidR="001913CA" w:rsidRPr="00A028FA" w:rsidRDefault="001913CA" w:rsidP="00A028FA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A028FA">
        <w:rPr>
          <w:rFonts w:asciiTheme="minorHAnsi" w:hAnsiTheme="minorHAnsi" w:cstheme="minorHAnsi"/>
          <w:sz w:val="24"/>
          <w:szCs w:val="24"/>
        </w:rPr>
        <w:t>Insight 6 — Score reliability must be considered</w:t>
      </w:r>
    </w:p>
    <w:p w:rsidR="001913CA" w:rsidRPr="00A028FA" w:rsidRDefault="001913CA" w:rsidP="00A028F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13 districts had lower score coverage.</w:t>
      </w:r>
    </w:p>
    <w:p w:rsidR="001913CA" w:rsidRPr="00A028FA" w:rsidRDefault="001913CA" w:rsidP="00A028FA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A028FA">
        <w:rPr>
          <w:rFonts w:asciiTheme="minorHAnsi" w:hAnsiTheme="minorHAnsi" w:cstheme="minorHAnsi"/>
        </w:rPr>
        <w:t>Their rankings should therefore be interpreted more cautiously than districts with complete or near-complete indicator coverage.</w:t>
      </w:r>
    </w:p>
    <w:p w:rsidR="00BF3C74" w:rsidRDefault="001913CA" w:rsidP="00BF3C74">
      <w:pPr>
        <w:pStyle w:val="Heading1"/>
      </w:pPr>
      <w:r>
        <w:t>14</w:t>
      </w:r>
      <w:r w:rsidR="00BF3C74">
        <w:t>. Recommendations</w:t>
      </w:r>
    </w:p>
    <w:p w:rsidR="00227266" w:rsidRPr="00227266" w:rsidRDefault="001913CA" w:rsidP="00157CB5">
      <w:pPr>
        <w:pStyle w:val="Heading3"/>
        <w:numPr>
          <w:ilvl w:val="0"/>
          <w:numId w:val="24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3FF6">
        <w:rPr>
          <w:rFonts w:asciiTheme="minorHAnsi" w:hAnsiTheme="minorHAnsi" w:cstheme="minorHAnsi"/>
          <w:sz w:val="24"/>
          <w:szCs w:val="24"/>
        </w:rPr>
        <w:t>Prioritize low-performing districts</w:t>
      </w:r>
    </w:p>
    <w:p w:rsidR="001913CA" w:rsidRPr="00763FF6" w:rsidRDefault="001913CA" w:rsidP="00227266">
      <w:pPr>
        <w:pStyle w:val="NormalWeb"/>
        <w:spacing w:before="120" w:beforeAutospacing="0" w:after="120" w:afterAutospacing="0" w:line="276" w:lineRule="auto"/>
        <w:ind w:left="720" w:right="284"/>
        <w:jc w:val="both"/>
        <w:rPr>
          <w:rFonts w:asciiTheme="minorHAnsi" w:hAnsiTheme="minorHAnsi" w:cstheme="minorHAnsi"/>
        </w:rPr>
      </w:pPr>
      <w:r w:rsidRPr="00763FF6">
        <w:rPr>
          <w:rFonts w:asciiTheme="minorHAnsi" w:hAnsiTheme="minorHAnsi" w:cstheme="minorHAnsi"/>
        </w:rPr>
        <w:t>Use the HealthGap ranking to identify districts requiring deeper indicator-level investigation.</w:t>
      </w:r>
    </w:p>
    <w:p w:rsidR="001913CA" w:rsidRPr="00763FF6" w:rsidRDefault="001913CA" w:rsidP="00157CB5">
      <w:pPr>
        <w:pStyle w:val="Heading3"/>
        <w:numPr>
          <w:ilvl w:val="0"/>
          <w:numId w:val="24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3FF6">
        <w:rPr>
          <w:rFonts w:asciiTheme="minorHAnsi" w:hAnsiTheme="minorHAnsi" w:cstheme="minorHAnsi"/>
          <w:sz w:val="24"/>
          <w:szCs w:val="24"/>
        </w:rPr>
        <w:t>Focus on within-state disparities</w:t>
      </w:r>
    </w:p>
    <w:p w:rsidR="001913CA" w:rsidRPr="00763FF6" w:rsidRDefault="001913CA" w:rsidP="00227266">
      <w:pPr>
        <w:pStyle w:val="NormalWeb"/>
        <w:spacing w:before="120" w:beforeAutospacing="0" w:after="120" w:afterAutospacing="0" w:line="276" w:lineRule="auto"/>
        <w:ind w:left="720" w:right="284"/>
        <w:jc w:val="both"/>
        <w:rPr>
          <w:rFonts w:asciiTheme="minorHAnsi" w:hAnsiTheme="minorHAnsi" w:cstheme="minorHAnsi"/>
        </w:rPr>
      </w:pPr>
      <w:r w:rsidRPr="00763FF6">
        <w:rPr>
          <w:rFonts w:asciiTheme="minorHAnsi" w:hAnsiTheme="minorHAnsi" w:cstheme="minorHAnsi"/>
        </w:rPr>
        <w:t>Districts with large negative district-vs-state gaps should receive additional analytical attention even when their State/UT performs relatively well overall.</w:t>
      </w:r>
    </w:p>
    <w:p w:rsidR="001913CA" w:rsidRPr="00763FF6" w:rsidRDefault="001913CA" w:rsidP="00157CB5">
      <w:pPr>
        <w:pStyle w:val="Heading3"/>
        <w:numPr>
          <w:ilvl w:val="0"/>
          <w:numId w:val="24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3FF6">
        <w:rPr>
          <w:rFonts w:asciiTheme="minorHAnsi" w:hAnsiTheme="minorHAnsi" w:cstheme="minorHAnsi"/>
          <w:sz w:val="24"/>
          <w:szCs w:val="24"/>
        </w:rPr>
        <w:t>Investigate Bihar at indicator level</w:t>
      </w:r>
    </w:p>
    <w:p w:rsidR="001913CA" w:rsidRPr="00763FF6" w:rsidRDefault="001913CA" w:rsidP="00227266">
      <w:pPr>
        <w:pStyle w:val="NormalWeb"/>
        <w:spacing w:before="120" w:beforeAutospacing="0" w:after="120" w:afterAutospacing="0" w:line="276" w:lineRule="auto"/>
        <w:ind w:left="720" w:right="284"/>
        <w:jc w:val="both"/>
        <w:rPr>
          <w:rFonts w:asciiTheme="minorHAnsi" w:hAnsiTheme="minorHAnsi" w:cstheme="minorHAnsi"/>
        </w:rPr>
      </w:pPr>
      <w:r w:rsidRPr="00763FF6">
        <w:rPr>
          <w:rFonts w:asciiTheme="minorHAnsi" w:hAnsiTheme="minorHAnsi" w:cstheme="minorHAnsi"/>
        </w:rPr>
        <w:t>Because Bihar had the lowest average State/UT performance, the next analytical step should be to identify the specific maternal, child nutrition, immunization and healthcare-access indicators contributing to its lower performance.</w:t>
      </w:r>
    </w:p>
    <w:p w:rsidR="001913CA" w:rsidRPr="00763FF6" w:rsidRDefault="001913CA" w:rsidP="00157CB5">
      <w:pPr>
        <w:pStyle w:val="Heading3"/>
        <w:numPr>
          <w:ilvl w:val="0"/>
          <w:numId w:val="24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3FF6">
        <w:rPr>
          <w:rFonts w:asciiTheme="minorHAnsi" w:hAnsiTheme="minorHAnsi" w:cstheme="minorHAnsi"/>
          <w:sz w:val="24"/>
          <w:szCs w:val="24"/>
        </w:rPr>
        <w:t>Strengthen maternal-care pathways</w:t>
      </w:r>
    </w:p>
    <w:p w:rsidR="001913CA" w:rsidRPr="00763FF6" w:rsidRDefault="001913CA" w:rsidP="00227266">
      <w:pPr>
        <w:pStyle w:val="NormalWeb"/>
        <w:spacing w:before="120" w:beforeAutospacing="0" w:after="120" w:afterAutospacing="0" w:line="276" w:lineRule="auto"/>
        <w:ind w:left="720" w:right="284"/>
        <w:jc w:val="both"/>
        <w:rPr>
          <w:rFonts w:asciiTheme="minorHAnsi" w:hAnsiTheme="minorHAnsi" w:cstheme="minorHAnsi"/>
        </w:rPr>
      </w:pPr>
      <w:r w:rsidRPr="00763FF6">
        <w:rPr>
          <w:rFonts w:asciiTheme="minorHAnsi" w:hAnsiTheme="minorHAnsi" w:cstheme="minorHAnsi"/>
        </w:rPr>
        <w:t>The strong association between maternal care and institutional births supports monitoring antenatal care, skilled attendance and institutional delivery together.</w:t>
      </w:r>
    </w:p>
    <w:p w:rsidR="001913CA" w:rsidRPr="00763FF6" w:rsidRDefault="001913CA" w:rsidP="00157CB5">
      <w:pPr>
        <w:pStyle w:val="Heading3"/>
        <w:numPr>
          <w:ilvl w:val="0"/>
          <w:numId w:val="24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3FF6">
        <w:rPr>
          <w:rFonts w:asciiTheme="minorHAnsi" w:hAnsiTheme="minorHAnsi" w:cstheme="minorHAnsi"/>
          <w:sz w:val="24"/>
          <w:szCs w:val="24"/>
        </w:rPr>
        <w:t>Integrate maternal and child-health monitoring</w:t>
      </w:r>
    </w:p>
    <w:p w:rsidR="001913CA" w:rsidRPr="00763FF6" w:rsidRDefault="001913CA" w:rsidP="00227266">
      <w:pPr>
        <w:pStyle w:val="NormalWeb"/>
        <w:spacing w:before="120" w:beforeAutospacing="0" w:after="120" w:afterAutospacing="0" w:line="276" w:lineRule="auto"/>
        <w:ind w:left="720" w:right="284"/>
        <w:jc w:val="both"/>
        <w:rPr>
          <w:rFonts w:asciiTheme="minorHAnsi" w:hAnsiTheme="minorHAnsi" w:cstheme="minorHAnsi"/>
        </w:rPr>
      </w:pPr>
      <w:r w:rsidRPr="00763FF6">
        <w:rPr>
          <w:rFonts w:asciiTheme="minorHAnsi" w:hAnsiTheme="minorHAnsi" w:cstheme="minorHAnsi"/>
        </w:rPr>
        <w:t>The relationship between maternal-care performance and child stunting suggests value in jointly monitoring maternal-health and child-nutrition indicators.</w:t>
      </w:r>
    </w:p>
    <w:p w:rsidR="001913CA" w:rsidRPr="00763FF6" w:rsidRDefault="001913CA" w:rsidP="00157CB5">
      <w:pPr>
        <w:pStyle w:val="Heading3"/>
        <w:numPr>
          <w:ilvl w:val="0"/>
          <w:numId w:val="24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3FF6">
        <w:rPr>
          <w:rFonts w:asciiTheme="minorHAnsi" w:hAnsiTheme="minorHAnsi" w:cstheme="minorHAnsi"/>
          <w:sz w:val="24"/>
          <w:szCs w:val="24"/>
        </w:rPr>
        <w:t>Treat low-coverage districts cautiously</w:t>
      </w:r>
    </w:p>
    <w:p w:rsidR="001913CA" w:rsidRPr="00763FF6" w:rsidRDefault="001913CA" w:rsidP="00227266">
      <w:pPr>
        <w:pStyle w:val="NormalWeb"/>
        <w:spacing w:before="120" w:beforeAutospacing="0" w:after="120" w:afterAutospacing="0" w:line="276" w:lineRule="auto"/>
        <w:ind w:left="720" w:right="284"/>
        <w:jc w:val="both"/>
        <w:rPr>
          <w:rFonts w:asciiTheme="minorHAnsi" w:hAnsiTheme="minorHAnsi" w:cstheme="minorHAnsi"/>
        </w:rPr>
      </w:pPr>
      <w:r w:rsidRPr="00763FF6">
        <w:rPr>
          <w:rFonts w:asciiTheme="minorHAnsi" w:hAnsiTheme="minorHAnsi" w:cstheme="minorHAnsi"/>
        </w:rPr>
        <w:t>The 13 low-coverage districts should be clearly flagged before making strong comparative conclusions.</w:t>
      </w:r>
    </w:p>
    <w:p w:rsidR="001913CA" w:rsidRPr="00763FF6" w:rsidRDefault="001913CA" w:rsidP="00157CB5">
      <w:pPr>
        <w:pStyle w:val="Heading3"/>
        <w:numPr>
          <w:ilvl w:val="0"/>
          <w:numId w:val="24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63FF6">
        <w:rPr>
          <w:rFonts w:asciiTheme="minorHAnsi" w:hAnsiTheme="minorHAnsi" w:cstheme="minorHAnsi"/>
          <w:sz w:val="24"/>
          <w:szCs w:val="24"/>
        </w:rPr>
        <w:t>Use the model for prioritization, not causal decision-making</w:t>
      </w:r>
    </w:p>
    <w:p w:rsidR="001913CA" w:rsidRPr="00763FF6" w:rsidRDefault="001913CA" w:rsidP="00227266">
      <w:pPr>
        <w:pStyle w:val="NormalWeb"/>
        <w:spacing w:before="120" w:beforeAutospacing="0" w:after="120" w:afterAutospacing="0" w:line="276" w:lineRule="auto"/>
        <w:ind w:left="720" w:right="284"/>
        <w:jc w:val="both"/>
        <w:rPr>
          <w:rFonts w:asciiTheme="minorHAnsi" w:hAnsiTheme="minorHAnsi" w:cstheme="minorHAnsi"/>
        </w:rPr>
      </w:pPr>
      <w:r w:rsidRPr="00763FF6">
        <w:rPr>
          <w:rFonts w:asciiTheme="minorHAnsi" w:hAnsiTheme="minorHAnsi" w:cstheme="minorHAnsi"/>
        </w:rPr>
        <w:t>The HealthGap framework should be used as an analytical prioritization tool. Policy or resource decisions should incorporate additional contextual, operational and program-level evidence.</w:t>
      </w:r>
    </w:p>
    <w:p w:rsidR="00BF3C74" w:rsidRDefault="000755C0" w:rsidP="00BF3C74">
      <w:pPr>
        <w:pStyle w:val="Heading1"/>
      </w:pPr>
      <w:r>
        <w:lastRenderedPageBreak/>
        <w:t>15</w:t>
      </w:r>
      <w:r w:rsidR="00BF3C74">
        <w:t>. Limitations</w:t>
      </w:r>
    </w:p>
    <w:p w:rsidR="00BF3C74" w:rsidRPr="00763FF6" w:rsidRDefault="00BF3C74" w:rsidP="00763FF6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763FF6">
        <w:rPr>
          <w:rFonts w:asciiTheme="minorHAnsi" w:hAnsiTheme="minorHAnsi" w:cstheme="minorHAnsi"/>
        </w:rPr>
        <w:t>The HealthGap analysis has several limitations.</w:t>
      </w:r>
    </w:p>
    <w:p w:rsidR="00BF3C74" w:rsidRPr="00EE5755" w:rsidRDefault="00BF3C74" w:rsidP="00157CB5">
      <w:pPr>
        <w:pStyle w:val="NormalWeb"/>
        <w:numPr>
          <w:ilvl w:val="0"/>
          <w:numId w:val="25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The HealthGap Score is a project-specific composite measure and is not an official government healthcare index.</w:t>
      </w:r>
    </w:p>
    <w:p w:rsidR="001913CA" w:rsidRPr="00EE5755" w:rsidRDefault="001913CA" w:rsidP="00157CB5">
      <w:pPr>
        <w:pStyle w:val="NormalWeb"/>
        <w:numPr>
          <w:ilvl w:val="0"/>
          <w:numId w:val="25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NFHS-5 represents a survey period and should not be interpreted as real-time healthcare monitoring.</w:t>
      </w:r>
    </w:p>
    <w:p w:rsidR="00BF3C74" w:rsidRPr="00EE5755" w:rsidRDefault="00BF3C74" w:rsidP="00157CB5">
      <w:pPr>
        <w:pStyle w:val="NormalWeb"/>
        <w:numPr>
          <w:ilvl w:val="0"/>
          <w:numId w:val="25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Correlation analysis identifies association and does not establish causation.</w:t>
      </w:r>
    </w:p>
    <w:p w:rsidR="00BF3C74" w:rsidRPr="00EE5755" w:rsidRDefault="00BF3C74" w:rsidP="00157CB5">
      <w:pPr>
        <w:pStyle w:val="NormalWeb"/>
        <w:numPr>
          <w:ilvl w:val="0"/>
          <w:numId w:val="25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Some indicators contain missing observations, resulting in different levels of score coverage across districts.</w:t>
      </w:r>
    </w:p>
    <w:p w:rsidR="00BF3C74" w:rsidRPr="00EE5755" w:rsidRDefault="00BF3C74" w:rsidP="00157CB5">
      <w:pPr>
        <w:pStyle w:val="NormalWeb"/>
        <w:numPr>
          <w:ilvl w:val="0"/>
          <w:numId w:val="25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Indicator definitions, measurement periods and underlying survey methodology should be considered when interpreting individual indicators.</w:t>
      </w:r>
    </w:p>
    <w:p w:rsidR="00BF3C74" w:rsidRPr="00EE5755" w:rsidRDefault="00BF3C74" w:rsidP="00157CB5">
      <w:pPr>
        <w:pStyle w:val="NormalWeb"/>
        <w:numPr>
          <w:ilvl w:val="0"/>
          <w:numId w:val="25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The analysis identifies potential priority areas but does not independently evaluate the cost, feasibility or effectiveness of specific interventions.</w:t>
      </w:r>
    </w:p>
    <w:p w:rsidR="00905190" w:rsidRDefault="00BF3C74" w:rsidP="00157CB5">
      <w:pPr>
        <w:pStyle w:val="NormalWeb"/>
        <w:numPr>
          <w:ilvl w:val="0"/>
          <w:numId w:val="25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The project is designed for analytical benchmarking and decision support rather than clinical or policy evaluation.</w:t>
      </w:r>
    </w:p>
    <w:p w:rsidR="001913CA" w:rsidRPr="00F80FD9" w:rsidRDefault="001913CA" w:rsidP="00157CB5">
      <w:pPr>
        <w:pStyle w:val="NormalWeb"/>
        <w:numPr>
          <w:ilvl w:val="0"/>
          <w:numId w:val="25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F80FD9">
        <w:rPr>
          <w:rFonts w:asciiTheme="minorHAnsi" w:hAnsiTheme="minorHAnsi" w:cstheme="minorHAnsi"/>
        </w:rPr>
        <w:t>Additional socioeconomic, infrastructure, program implementation and temporal data could improve future versions of the model.</w:t>
      </w:r>
    </w:p>
    <w:p w:rsidR="00BF3C74" w:rsidRDefault="000755C0" w:rsidP="00BF3C74">
      <w:pPr>
        <w:pStyle w:val="Heading1"/>
      </w:pPr>
      <w:r>
        <w:t>16</w:t>
      </w:r>
      <w:r w:rsidR="00BF3C74">
        <w:t>. Conclusion</w:t>
      </w:r>
    </w:p>
    <w:p w:rsidR="00BF3C74" w:rsidRPr="00EE5755" w:rsidRDefault="00BF3C74" w:rsidP="00EE5755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HealthGap India demonstrates an end-to-end approach to district-level healthcare analytics.</w:t>
      </w:r>
    </w:p>
    <w:p w:rsidR="00BF3C74" w:rsidRPr="00EE5755" w:rsidRDefault="00BF3C74" w:rsidP="00EE5755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The project transformed a multi-indicator healthcare dataset into a structured analytical framework, evaluated data quality, developed a KPI system, calculated a composite HealthGap Score, ranked districts and states, identified within-state disparities, and presented the findings through Power BI.</w:t>
      </w:r>
    </w:p>
    <w:p w:rsidR="00BF3C74" w:rsidRPr="00EE5755" w:rsidRDefault="00BF3C74" w:rsidP="00EE5755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The final framework provides a repeatable approach for identifying priority districts, comparing performance and supporting further investigation.</w:t>
      </w:r>
    </w:p>
    <w:p w:rsidR="00BF3C74" w:rsidRPr="00EE5755" w:rsidRDefault="00BF3C74" w:rsidP="00EE5755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The project also demonstrates the practical integration of Python, Pandas, NumPy, Power Query and Power BI within a single analytics workflow.</w:t>
      </w:r>
    </w:p>
    <w:p w:rsidR="00BF3C74" w:rsidRDefault="000755C0" w:rsidP="00BF3C74">
      <w:pPr>
        <w:pStyle w:val="Heading1"/>
      </w:pPr>
      <w:r>
        <w:t>17</w:t>
      </w:r>
      <w:r w:rsidR="00BF3C74">
        <w:t>. Technical Skills Demonstrated</w:t>
      </w:r>
    </w:p>
    <w:p w:rsidR="006147D2" w:rsidRPr="006147D2" w:rsidRDefault="006147D2" w:rsidP="006147D2">
      <w:pPr>
        <w:pStyle w:val="Heading3"/>
        <w:spacing w:before="120" w:beforeAutospacing="0" w:after="120" w:afterAutospacing="0" w:line="276" w:lineRule="auto"/>
        <w:ind w:left="284"/>
        <w:jc w:val="both"/>
        <w:rPr>
          <w:rFonts w:asciiTheme="minorHAnsi" w:hAnsiTheme="minorHAnsi" w:cstheme="minorHAnsi"/>
          <w:sz w:val="24"/>
          <w:szCs w:val="24"/>
        </w:rPr>
      </w:pPr>
      <w:r w:rsidRPr="006147D2">
        <w:rPr>
          <w:rFonts w:asciiTheme="minorHAnsi" w:hAnsiTheme="minorHAnsi" w:cstheme="minorHAnsi"/>
          <w:sz w:val="24"/>
          <w:szCs w:val="24"/>
        </w:rPr>
        <w:t>Data Analysis</w:t>
      </w:r>
    </w:p>
    <w:p w:rsidR="006147D2" w:rsidRPr="006147D2" w:rsidRDefault="006147D2" w:rsidP="006147D2">
      <w:pPr>
        <w:numPr>
          <w:ilvl w:val="0"/>
          <w:numId w:val="29"/>
        </w:numPr>
        <w:tabs>
          <w:tab w:val="clear" w:pos="720"/>
          <w:tab w:val="num" w:pos="1004"/>
        </w:tabs>
        <w:ind w:left="1004" w:right="0"/>
        <w:rPr>
          <w:rFonts w:cstheme="minorHAnsi"/>
          <w:sz w:val="24"/>
          <w:szCs w:val="24"/>
        </w:rPr>
      </w:pPr>
      <w:r w:rsidRPr="006147D2">
        <w:rPr>
          <w:rFonts w:cstheme="minorHAnsi"/>
          <w:sz w:val="24"/>
          <w:szCs w:val="24"/>
        </w:rPr>
        <w:t>Python</w:t>
      </w:r>
    </w:p>
    <w:p w:rsidR="006147D2" w:rsidRPr="006147D2" w:rsidRDefault="006147D2" w:rsidP="006147D2">
      <w:pPr>
        <w:numPr>
          <w:ilvl w:val="0"/>
          <w:numId w:val="29"/>
        </w:numPr>
        <w:tabs>
          <w:tab w:val="clear" w:pos="720"/>
          <w:tab w:val="num" w:pos="1004"/>
        </w:tabs>
        <w:ind w:left="1004" w:right="0"/>
        <w:rPr>
          <w:rFonts w:cstheme="minorHAnsi"/>
          <w:sz w:val="24"/>
          <w:szCs w:val="24"/>
        </w:rPr>
      </w:pPr>
      <w:r w:rsidRPr="006147D2">
        <w:rPr>
          <w:rFonts w:cstheme="minorHAnsi"/>
          <w:sz w:val="24"/>
          <w:szCs w:val="24"/>
        </w:rPr>
        <w:t>Pandas</w:t>
      </w:r>
    </w:p>
    <w:p w:rsidR="006147D2" w:rsidRPr="006147D2" w:rsidRDefault="006147D2" w:rsidP="006147D2">
      <w:pPr>
        <w:numPr>
          <w:ilvl w:val="0"/>
          <w:numId w:val="29"/>
        </w:numPr>
        <w:tabs>
          <w:tab w:val="clear" w:pos="720"/>
          <w:tab w:val="num" w:pos="1004"/>
        </w:tabs>
        <w:ind w:left="1004" w:right="0"/>
        <w:rPr>
          <w:rFonts w:cstheme="minorHAnsi"/>
          <w:sz w:val="24"/>
          <w:szCs w:val="24"/>
        </w:rPr>
      </w:pPr>
      <w:proofErr w:type="spellStart"/>
      <w:r w:rsidRPr="006147D2">
        <w:rPr>
          <w:rFonts w:cstheme="minorHAnsi"/>
          <w:sz w:val="24"/>
          <w:szCs w:val="24"/>
        </w:rPr>
        <w:t>NumPy</w:t>
      </w:r>
      <w:proofErr w:type="spellEnd"/>
    </w:p>
    <w:p w:rsidR="006147D2" w:rsidRPr="006147D2" w:rsidRDefault="006147D2" w:rsidP="006147D2">
      <w:pPr>
        <w:pStyle w:val="Heading3"/>
        <w:spacing w:before="120" w:beforeAutospacing="0" w:after="120" w:afterAutospacing="0" w:line="276" w:lineRule="auto"/>
        <w:ind w:left="284"/>
        <w:jc w:val="both"/>
        <w:rPr>
          <w:rFonts w:asciiTheme="minorHAnsi" w:hAnsiTheme="minorHAnsi" w:cstheme="minorHAnsi"/>
          <w:sz w:val="24"/>
          <w:szCs w:val="24"/>
        </w:rPr>
      </w:pPr>
      <w:r w:rsidRPr="006147D2">
        <w:rPr>
          <w:rFonts w:asciiTheme="minorHAnsi" w:hAnsiTheme="minorHAnsi" w:cstheme="minorHAnsi"/>
          <w:sz w:val="24"/>
          <w:szCs w:val="24"/>
        </w:rPr>
        <w:lastRenderedPageBreak/>
        <w:t>Data Transformation</w:t>
      </w:r>
    </w:p>
    <w:p w:rsidR="006147D2" w:rsidRPr="006147D2" w:rsidRDefault="006147D2" w:rsidP="006147D2">
      <w:pPr>
        <w:numPr>
          <w:ilvl w:val="0"/>
          <w:numId w:val="30"/>
        </w:numPr>
        <w:tabs>
          <w:tab w:val="clear" w:pos="720"/>
          <w:tab w:val="num" w:pos="1004"/>
        </w:tabs>
        <w:ind w:left="1004" w:right="0"/>
        <w:rPr>
          <w:rFonts w:cstheme="minorHAnsi"/>
          <w:sz w:val="24"/>
          <w:szCs w:val="24"/>
        </w:rPr>
      </w:pPr>
      <w:r w:rsidRPr="006147D2">
        <w:rPr>
          <w:rFonts w:cstheme="minorHAnsi"/>
          <w:sz w:val="24"/>
          <w:szCs w:val="24"/>
        </w:rPr>
        <w:t>Power Query</w:t>
      </w:r>
    </w:p>
    <w:p w:rsidR="006147D2" w:rsidRPr="006147D2" w:rsidRDefault="006147D2" w:rsidP="006147D2">
      <w:pPr>
        <w:pStyle w:val="Heading3"/>
        <w:spacing w:before="120" w:beforeAutospacing="0" w:after="120" w:afterAutospacing="0" w:line="276" w:lineRule="auto"/>
        <w:ind w:left="284"/>
        <w:jc w:val="both"/>
        <w:rPr>
          <w:rFonts w:asciiTheme="minorHAnsi" w:hAnsiTheme="minorHAnsi" w:cstheme="minorHAnsi"/>
          <w:sz w:val="24"/>
          <w:szCs w:val="24"/>
        </w:rPr>
      </w:pPr>
      <w:r w:rsidRPr="006147D2">
        <w:rPr>
          <w:rFonts w:asciiTheme="minorHAnsi" w:hAnsiTheme="minorHAnsi" w:cstheme="minorHAnsi"/>
          <w:sz w:val="24"/>
          <w:szCs w:val="24"/>
        </w:rPr>
        <w:t>Visualization &amp; Business Intelligence</w:t>
      </w:r>
    </w:p>
    <w:p w:rsidR="006147D2" w:rsidRPr="006147D2" w:rsidRDefault="006147D2" w:rsidP="006147D2">
      <w:pPr>
        <w:numPr>
          <w:ilvl w:val="0"/>
          <w:numId w:val="31"/>
        </w:numPr>
        <w:tabs>
          <w:tab w:val="clear" w:pos="720"/>
          <w:tab w:val="num" w:pos="1004"/>
        </w:tabs>
        <w:ind w:left="1004" w:right="0"/>
        <w:rPr>
          <w:rFonts w:cstheme="minorHAnsi"/>
          <w:sz w:val="24"/>
          <w:szCs w:val="24"/>
        </w:rPr>
      </w:pPr>
      <w:r w:rsidRPr="006147D2">
        <w:rPr>
          <w:rFonts w:cstheme="minorHAnsi"/>
          <w:sz w:val="24"/>
          <w:szCs w:val="24"/>
        </w:rPr>
        <w:t>Microsoft Power BI</w:t>
      </w:r>
    </w:p>
    <w:p w:rsidR="006147D2" w:rsidRPr="006147D2" w:rsidRDefault="006147D2" w:rsidP="006147D2">
      <w:pPr>
        <w:pStyle w:val="Heading3"/>
        <w:spacing w:before="120" w:beforeAutospacing="0" w:after="120" w:afterAutospacing="0" w:line="276" w:lineRule="auto"/>
        <w:ind w:left="284"/>
        <w:jc w:val="both"/>
        <w:rPr>
          <w:rFonts w:asciiTheme="minorHAnsi" w:hAnsiTheme="minorHAnsi" w:cstheme="minorHAnsi"/>
          <w:sz w:val="24"/>
          <w:szCs w:val="24"/>
        </w:rPr>
      </w:pPr>
      <w:r w:rsidRPr="006147D2">
        <w:rPr>
          <w:rFonts w:asciiTheme="minorHAnsi" w:hAnsiTheme="minorHAnsi" w:cstheme="minorHAnsi"/>
          <w:sz w:val="24"/>
          <w:szCs w:val="24"/>
        </w:rPr>
        <w:t>Documentation &amp; Version Control</w:t>
      </w:r>
    </w:p>
    <w:p w:rsidR="006147D2" w:rsidRPr="006147D2" w:rsidRDefault="006147D2" w:rsidP="006147D2">
      <w:pPr>
        <w:numPr>
          <w:ilvl w:val="0"/>
          <w:numId w:val="32"/>
        </w:numPr>
        <w:tabs>
          <w:tab w:val="clear" w:pos="720"/>
          <w:tab w:val="num" w:pos="1004"/>
        </w:tabs>
        <w:ind w:left="1004" w:righ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Microsoft Word</w:t>
      </w:r>
    </w:p>
    <w:p w:rsidR="006147D2" w:rsidRPr="006147D2" w:rsidRDefault="006147D2" w:rsidP="006147D2">
      <w:pPr>
        <w:numPr>
          <w:ilvl w:val="0"/>
          <w:numId w:val="32"/>
        </w:numPr>
        <w:tabs>
          <w:tab w:val="clear" w:pos="720"/>
          <w:tab w:val="num" w:pos="1004"/>
        </w:tabs>
        <w:ind w:left="1004" w:right="0"/>
        <w:rPr>
          <w:rFonts w:cstheme="minorHAnsi"/>
          <w:sz w:val="24"/>
          <w:szCs w:val="24"/>
        </w:rPr>
      </w:pPr>
      <w:r w:rsidRPr="006147D2">
        <w:rPr>
          <w:rFonts w:cstheme="minorHAnsi"/>
          <w:sz w:val="24"/>
          <w:szCs w:val="24"/>
        </w:rPr>
        <w:t>Git</w:t>
      </w:r>
    </w:p>
    <w:p w:rsidR="006147D2" w:rsidRPr="006147D2" w:rsidRDefault="006147D2" w:rsidP="006147D2">
      <w:pPr>
        <w:numPr>
          <w:ilvl w:val="0"/>
          <w:numId w:val="32"/>
        </w:numPr>
        <w:tabs>
          <w:tab w:val="clear" w:pos="720"/>
          <w:tab w:val="num" w:pos="1004"/>
        </w:tabs>
        <w:ind w:left="1004" w:right="0"/>
        <w:rPr>
          <w:rFonts w:cstheme="minorHAnsi"/>
          <w:sz w:val="24"/>
          <w:szCs w:val="24"/>
        </w:rPr>
      </w:pPr>
      <w:r w:rsidRPr="006147D2">
        <w:rPr>
          <w:rFonts w:cstheme="minorHAnsi"/>
          <w:sz w:val="24"/>
          <w:szCs w:val="24"/>
        </w:rPr>
        <w:t>GitHub</w:t>
      </w:r>
    </w:p>
    <w:p w:rsidR="00BF3C74" w:rsidRPr="00EE5755" w:rsidRDefault="00BF3C74" w:rsidP="00EE5755">
      <w:pPr>
        <w:pStyle w:val="Heading3"/>
        <w:spacing w:before="120" w:beforeAutospacing="0" w:after="120" w:afterAutospacing="0" w:line="276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EE5755">
        <w:rPr>
          <w:rFonts w:asciiTheme="minorHAnsi" w:hAnsiTheme="minorHAnsi" w:cstheme="minorHAnsi"/>
          <w:sz w:val="24"/>
          <w:szCs w:val="24"/>
        </w:rPr>
        <w:t>Analytical Skills</w:t>
      </w:r>
    </w:p>
    <w:p w:rsidR="00BF3C74" w:rsidRPr="00EE5755" w:rsidRDefault="00BF3C74" w:rsidP="00157CB5">
      <w:pPr>
        <w:pStyle w:val="NormalWeb"/>
        <w:numPr>
          <w:ilvl w:val="0"/>
          <w:numId w:val="27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Business problem definition</w:t>
      </w:r>
    </w:p>
    <w:p w:rsidR="00BF3C74" w:rsidRPr="00EE5755" w:rsidRDefault="00BF3C74" w:rsidP="00157CB5">
      <w:pPr>
        <w:pStyle w:val="NormalWeb"/>
        <w:numPr>
          <w:ilvl w:val="0"/>
          <w:numId w:val="27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KPI design</w:t>
      </w:r>
    </w:p>
    <w:p w:rsidR="00BF3C74" w:rsidRPr="00EE5755" w:rsidRDefault="00BF3C74" w:rsidP="00157CB5">
      <w:pPr>
        <w:pStyle w:val="NormalWeb"/>
        <w:numPr>
          <w:ilvl w:val="0"/>
          <w:numId w:val="27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Healthcare gap analysis</w:t>
      </w:r>
    </w:p>
    <w:p w:rsidR="00BF3C74" w:rsidRPr="00EE5755" w:rsidRDefault="00BF3C74" w:rsidP="00157CB5">
      <w:pPr>
        <w:pStyle w:val="NormalWeb"/>
        <w:numPr>
          <w:ilvl w:val="0"/>
          <w:numId w:val="27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District benchmarking</w:t>
      </w:r>
    </w:p>
    <w:p w:rsidR="00BF3C74" w:rsidRPr="00EE5755" w:rsidRDefault="00BF3C74" w:rsidP="00157CB5">
      <w:pPr>
        <w:pStyle w:val="NormalWeb"/>
        <w:numPr>
          <w:ilvl w:val="0"/>
          <w:numId w:val="27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State comparison</w:t>
      </w:r>
    </w:p>
    <w:p w:rsidR="00BF3C74" w:rsidRPr="00EE5755" w:rsidRDefault="00BF3C74" w:rsidP="00157CB5">
      <w:pPr>
        <w:pStyle w:val="NormalWeb"/>
        <w:numPr>
          <w:ilvl w:val="0"/>
          <w:numId w:val="27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Data-driven recommendations</w:t>
      </w:r>
    </w:p>
    <w:p w:rsidR="000775FE" w:rsidRPr="000775FE" w:rsidRDefault="00BF3C74" w:rsidP="00157CB5">
      <w:pPr>
        <w:pStyle w:val="NormalWeb"/>
        <w:numPr>
          <w:ilvl w:val="0"/>
          <w:numId w:val="27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Business storytelling</w:t>
      </w:r>
    </w:p>
    <w:p w:rsidR="00BF3C74" w:rsidRDefault="000755C0" w:rsidP="00905190">
      <w:pPr>
        <w:pStyle w:val="Heading1"/>
        <w:spacing w:before="0"/>
        <w:ind w:left="0"/>
      </w:pPr>
      <w:r>
        <w:t>18</w:t>
      </w:r>
      <w:r w:rsidR="00BF3C74">
        <w:t>. Project Workflow</w:t>
      </w:r>
    </w:p>
    <w:p w:rsidR="00BF3C74" w:rsidRPr="00EE5755" w:rsidRDefault="00BF3C74" w:rsidP="00EE5755">
      <w:pPr>
        <w:pStyle w:val="NormalWeb"/>
        <w:spacing w:before="120" w:beforeAutospacing="0" w:after="120" w:afterAutospacing="0" w:line="276" w:lineRule="auto"/>
        <w:ind w:left="284" w:right="227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The project followed an end-to-end analytics workflow:</w:t>
      </w:r>
    </w:p>
    <w:p w:rsidR="00BF3C74" w:rsidRDefault="00CF2DA5" w:rsidP="000775FE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23890" cy="8896350"/>
            <wp:effectExtent l="0" t="0" r="0" b="38100"/>
            <wp:wrapTight wrapText="bothSides">
              <wp:wrapPolygon edited="0">
                <wp:start x="5823" y="0"/>
                <wp:lineTo x="5751" y="1110"/>
                <wp:lineTo x="8267" y="1480"/>
                <wp:lineTo x="6254" y="1526"/>
                <wp:lineTo x="5823" y="1573"/>
                <wp:lineTo x="5823" y="2636"/>
                <wp:lineTo x="7764" y="2960"/>
                <wp:lineTo x="6039" y="3099"/>
                <wp:lineTo x="5607" y="3145"/>
                <wp:lineTo x="5607" y="4209"/>
                <wp:lineTo x="6973" y="4440"/>
                <wp:lineTo x="10424" y="4440"/>
                <wp:lineTo x="6254" y="4672"/>
                <wp:lineTo x="5535" y="4764"/>
                <wp:lineTo x="5535" y="5782"/>
                <wp:lineTo x="6326" y="5920"/>
                <wp:lineTo x="10424" y="5920"/>
                <wp:lineTo x="6398" y="6244"/>
                <wp:lineTo x="5535" y="6337"/>
                <wp:lineTo x="5535" y="7354"/>
                <wp:lineTo x="5751" y="7400"/>
                <wp:lineTo x="10783" y="7400"/>
                <wp:lineTo x="6829" y="7770"/>
                <wp:lineTo x="5535" y="7909"/>
                <wp:lineTo x="5392" y="12164"/>
                <wp:lineTo x="8555" y="12581"/>
                <wp:lineTo x="5895" y="12581"/>
                <wp:lineTo x="5464" y="12627"/>
                <wp:lineTo x="5464" y="13737"/>
                <wp:lineTo x="7764" y="14061"/>
                <wp:lineTo x="5895" y="14200"/>
                <wp:lineTo x="5464" y="14246"/>
                <wp:lineTo x="5464" y="15310"/>
                <wp:lineTo x="7117" y="15541"/>
                <wp:lineTo x="10280" y="15541"/>
                <wp:lineTo x="6110" y="15726"/>
                <wp:lineTo x="5535" y="15818"/>
                <wp:lineTo x="5535" y="16836"/>
                <wp:lineTo x="6614" y="17021"/>
                <wp:lineTo x="10424" y="17021"/>
                <wp:lineTo x="6398" y="17299"/>
                <wp:lineTo x="5607" y="17391"/>
                <wp:lineTo x="5607" y="18455"/>
                <wp:lineTo x="5823" y="18501"/>
                <wp:lineTo x="10424" y="18501"/>
                <wp:lineTo x="6686" y="18825"/>
                <wp:lineTo x="5679" y="18964"/>
                <wp:lineTo x="5751" y="21646"/>
                <wp:lineTo x="15815" y="21646"/>
                <wp:lineTo x="15815" y="21461"/>
                <wp:lineTo x="16103" y="19010"/>
                <wp:lineTo x="15672" y="18917"/>
                <wp:lineTo x="11071" y="18501"/>
                <wp:lineTo x="15672" y="18501"/>
                <wp:lineTo x="16103" y="18455"/>
                <wp:lineTo x="16103" y="17437"/>
                <wp:lineTo x="15672" y="17345"/>
                <wp:lineTo x="11071" y="17021"/>
                <wp:lineTo x="14809" y="17021"/>
                <wp:lineTo x="16103" y="16836"/>
                <wp:lineTo x="16175" y="15865"/>
                <wp:lineTo x="15456" y="15726"/>
                <wp:lineTo x="11215" y="15541"/>
                <wp:lineTo x="14234" y="15541"/>
                <wp:lineTo x="16175" y="15263"/>
                <wp:lineTo x="16247" y="14246"/>
                <wp:lineTo x="13515" y="14061"/>
                <wp:lineTo x="16175" y="13691"/>
                <wp:lineTo x="16247" y="12627"/>
                <wp:lineTo x="15744" y="12581"/>
                <wp:lineTo x="12724" y="12581"/>
                <wp:lineTo x="16247" y="12118"/>
                <wp:lineTo x="16247" y="7909"/>
                <wp:lineTo x="10783" y="7400"/>
                <wp:lineTo x="15744" y="7400"/>
                <wp:lineTo x="16247" y="7354"/>
                <wp:lineTo x="16247" y="6383"/>
                <wp:lineTo x="15815" y="6290"/>
                <wp:lineTo x="11071" y="5920"/>
                <wp:lineTo x="15168" y="5920"/>
                <wp:lineTo x="16247" y="5782"/>
                <wp:lineTo x="16247" y="4764"/>
                <wp:lineTo x="15528" y="4672"/>
                <wp:lineTo x="11071" y="4440"/>
                <wp:lineTo x="14378" y="4440"/>
                <wp:lineTo x="16031" y="4209"/>
                <wp:lineTo x="16103" y="3145"/>
                <wp:lineTo x="13731" y="2960"/>
                <wp:lineTo x="15887" y="2636"/>
                <wp:lineTo x="15959" y="1573"/>
                <wp:lineTo x="15528" y="1526"/>
                <wp:lineTo x="13084" y="1480"/>
                <wp:lineTo x="15887" y="1064"/>
                <wp:lineTo x="15744" y="0"/>
                <wp:lineTo x="5823" y="0"/>
              </wp:wrapPolygon>
            </wp:wrapTight>
            <wp:docPr id="34" name="Diagram 3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V relativeFrom="margin">
              <wp14:pctHeight>0</wp14:pctHeight>
            </wp14:sizeRelV>
          </wp:anchor>
        </w:drawing>
      </w:r>
    </w:p>
    <w:p w:rsidR="00BF3C74" w:rsidRDefault="000755C0" w:rsidP="00BF3C74">
      <w:pPr>
        <w:pStyle w:val="Heading1"/>
      </w:pPr>
      <w:r>
        <w:lastRenderedPageBreak/>
        <w:t>19</w:t>
      </w:r>
      <w:bookmarkStart w:id="1" w:name="_GoBack"/>
      <w:bookmarkEnd w:id="1"/>
      <w:r w:rsidR="00BF3C74">
        <w:t>. Appendix</w:t>
      </w:r>
    </w:p>
    <w:p w:rsidR="00AF60E0" w:rsidRPr="00AF60E0" w:rsidRDefault="00BF3C74" w:rsidP="008B6F56">
      <w:pPr>
        <w:pStyle w:val="Heading2"/>
      </w:pPr>
      <w:r>
        <w:t>A. Final Dataset Files</w:t>
      </w:r>
    </w:p>
    <w:p w:rsidR="00BF3C74" w:rsidRPr="00EE5755" w:rsidRDefault="00BF3C74" w:rsidP="00157CB5">
      <w:pPr>
        <w:pStyle w:val="NormalWeb"/>
        <w:numPr>
          <w:ilvl w:val="0"/>
          <w:numId w:val="1"/>
        </w:numPr>
        <w:spacing w:before="120" w:beforeAutospacing="0" w:after="120" w:afterAutospacing="0" w:line="276" w:lineRule="auto"/>
        <w:ind w:left="714" w:hanging="357"/>
        <w:jc w:val="both"/>
        <w:rPr>
          <w:sz w:val="22"/>
          <w:szCs w:val="22"/>
        </w:rPr>
      </w:pPr>
      <w:r w:rsidRPr="00EE5755">
        <w:rPr>
          <w:rStyle w:val="HTMLCode"/>
          <w:sz w:val="22"/>
          <w:szCs w:val="22"/>
        </w:rPr>
        <w:t>healthgap_core_dataset.csv</w:t>
      </w:r>
    </w:p>
    <w:p w:rsidR="00BF3C74" w:rsidRPr="00EE5755" w:rsidRDefault="00BF3C74" w:rsidP="00157CB5">
      <w:pPr>
        <w:pStyle w:val="NormalWeb"/>
        <w:numPr>
          <w:ilvl w:val="0"/>
          <w:numId w:val="1"/>
        </w:numPr>
        <w:spacing w:before="120" w:beforeAutospacing="0" w:after="120" w:afterAutospacing="0" w:line="276" w:lineRule="auto"/>
        <w:ind w:left="714" w:hanging="357"/>
        <w:jc w:val="both"/>
        <w:rPr>
          <w:sz w:val="22"/>
          <w:szCs w:val="22"/>
        </w:rPr>
      </w:pPr>
      <w:r w:rsidRPr="00EE5755">
        <w:rPr>
          <w:rStyle w:val="HTMLCode"/>
          <w:sz w:val="22"/>
          <w:szCs w:val="22"/>
        </w:rPr>
        <w:t>healthgap_supporting_dataset.csv</w:t>
      </w:r>
    </w:p>
    <w:p w:rsidR="00BF3C74" w:rsidRPr="00EE5755" w:rsidRDefault="00BF3C74" w:rsidP="00157CB5">
      <w:pPr>
        <w:pStyle w:val="NormalWeb"/>
        <w:numPr>
          <w:ilvl w:val="0"/>
          <w:numId w:val="1"/>
        </w:numPr>
        <w:spacing w:before="120" w:beforeAutospacing="0" w:after="120" w:afterAutospacing="0" w:line="276" w:lineRule="auto"/>
        <w:ind w:left="714" w:hanging="357"/>
        <w:jc w:val="both"/>
        <w:rPr>
          <w:sz w:val="22"/>
          <w:szCs w:val="22"/>
        </w:rPr>
      </w:pPr>
      <w:r w:rsidRPr="00EE5755">
        <w:rPr>
          <w:rStyle w:val="HTMLCode"/>
          <w:sz w:val="22"/>
          <w:szCs w:val="22"/>
        </w:rPr>
        <w:t>indicator_master.csv</w:t>
      </w:r>
    </w:p>
    <w:p w:rsidR="00BF3C74" w:rsidRPr="00EE5755" w:rsidRDefault="00BF3C74" w:rsidP="00157CB5">
      <w:pPr>
        <w:pStyle w:val="NormalWeb"/>
        <w:numPr>
          <w:ilvl w:val="0"/>
          <w:numId w:val="1"/>
        </w:numPr>
        <w:spacing w:before="120" w:beforeAutospacing="0" w:after="120" w:afterAutospacing="0" w:line="276" w:lineRule="auto"/>
        <w:ind w:left="714" w:hanging="357"/>
        <w:jc w:val="both"/>
        <w:rPr>
          <w:sz w:val="22"/>
          <w:szCs w:val="22"/>
        </w:rPr>
      </w:pPr>
      <w:r w:rsidRPr="00EE5755">
        <w:rPr>
          <w:rStyle w:val="HTMLCode"/>
          <w:sz w:val="22"/>
          <w:szCs w:val="22"/>
        </w:rPr>
        <w:t>healthgap_recommendations.csv</w:t>
      </w:r>
    </w:p>
    <w:p w:rsidR="00BF3C74" w:rsidRDefault="00BF3C74" w:rsidP="00BF3C74">
      <w:pPr>
        <w:pStyle w:val="Heading2"/>
      </w:pPr>
      <w:r>
        <w:t>B. Python Notebook</w:t>
      </w:r>
    </w:p>
    <w:p w:rsidR="00BF3C74" w:rsidRPr="00EE5755" w:rsidRDefault="00BF3C74" w:rsidP="00EE5755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sz w:val="22"/>
          <w:szCs w:val="22"/>
        </w:rPr>
      </w:pPr>
      <w:r w:rsidRPr="00EE5755">
        <w:rPr>
          <w:rStyle w:val="HTMLCode"/>
          <w:sz w:val="22"/>
          <w:szCs w:val="22"/>
        </w:rPr>
        <w:t>HealthGap_India_Analysis.ipynb</w:t>
      </w:r>
    </w:p>
    <w:p w:rsidR="00BF3C74" w:rsidRPr="00EE5755" w:rsidRDefault="00BF3C74" w:rsidP="00EE5755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The notebook contains the complete Python workflow used fo</w:t>
      </w:r>
      <w:r w:rsidR="00EE5755">
        <w:rPr>
          <w:rFonts w:asciiTheme="minorHAnsi" w:hAnsiTheme="minorHAnsi" w:cstheme="minorHAnsi"/>
        </w:rPr>
        <w:t xml:space="preserve">r data preparation, validation, </w:t>
      </w:r>
      <w:r w:rsidRPr="00EE5755">
        <w:rPr>
          <w:rFonts w:asciiTheme="minorHAnsi" w:hAnsiTheme="minorHAnsi" w:cstheme="minorHAnsi"/>
        </w:rPr>
        <w:t>EDA, KPI development, scoring, ranking, business insights and recommendations.</w:t>
      </w:r>
    </w:p>
    <w:p w:rsidR="00BF3C74" w:rsidRDefault="00BF3C74" w:rsidP="00BF3C74">
      <w:pPr>
        <w:pStyle w:val="Heading2"/>
      </w:pPr>
      <w:r>
        <w:t>C. Power BI File</w:t>
      </w:r>
    </w:p>
    <w:p w:rsidR="00BF3C74" w:rsidRPr="00EE5755" w:rsidRDefault="00BF3C74" w:rsidP="00EE5755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sz w:val="22"/>
          <w:szCs w:val="22"/>
        </w:rPr>
      </w:pPr>
      <w:r w:rsidRPr="00EE5755">
        <w:rPr>
          <w:rStyle w:val="HTMLCode"/>
          <w:sz w:val="22"/>
          <w:szCs w:val="22"/>
        </w:rPr>
        <w:t>HealthGap_India_Dashboard.pbix</w:t>
      </w:r>
    </w:p>
    <w:p w:rsidR="00BF3C74" w:rsidRPr="00EE5755" w:rsidRDefault="00BF3C74" w:rsidP="00EE5755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The Power BI file contains the Power Query transformations, data model, calculations and interactive dashboard.</w:t>
      </w:r>
    </w:p>
    <w:p w:rsidR="00BF3C74" w:rsidRDefault="00BF3C74" w:rsidP="00BF3C74">
      <w:pPr>
        <w:pStyle w:val="Heading2"/>
      </w:pPr>
      <w:r>
        <w:t>D. Important Analytical Definitions</w:t>
      </w:r>
    </w:p>
    <w:p w:rsidR="00BF3C74" w:rsidRPr="00EE5755" w:rsidRDefault="00BF3C74" w:rsidP="00EE5755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EE5755">
        <w:rPr>
          <w:rFonts w:asciiTheme="minorHAnsi" w:hAnsiTheme="minorHAnsi" w:cstheme="minorHAnsi"/>
          <w:sz w:val="24"/>
          <w:szCs w:val="24"/>
        </w:rPr>
        <w:t>HealthGap Score</w:t>
      </w:r>
    </w:p>
    <w:p w:rsidR="00BF3C74" w:rsidRPr="00EE5755" w:rsidRDefault="00BF3C74" w:rsidP="00EE5755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A project-specific composite score on a 0–100 scale designed so that higher values represent stronger performance within the selected scoring framework.</w:t>
      </w:r>
    </w:p>
    <w:p w:rsidR="00BF3C74" w:rsidRPr="00EE5755" w:rsidRDefault="00BF3C74" w:rsidP="00EE5755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EE5755">
        <w:rPr>
          <w:rFonts w:asciiTheme="minorHAnsi" w:hAnsiTheme="minorHAnsi" w:cstheme="minorHAnsi"/>
          <w:sz w:val="24"/>
          <w:szCs w:val="24"/>
        </w:rPr>
        <w:t>Score Coverage</w:t>
      </w:r>
      <w:r w:rsidR="00777FBD">
        <w:rPr>
          <w:rFonts w:asciiTheme="minorHAnsi" w:hAnsiTheme="minorHAnsi" w:cstheme="minorHAnsi"/>
          <w:sz w:val="24"/>
          <w:szCs w:val="24"/>
        </w:rPr>
        <w:t>:</w:t>
      </w:r>
    </w:p>
    <w:p w:rsidR="00BF3C74" w:rsidRPr="00EE5755" w:rsidRDefault="00BF3C74" w:rsidP="00EE5755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The percentage of scoring indicators available for a district.</w:t>
      </w:r>
    </w:p>
    <w:p w:rsidR="00BF3C74" w:rsidRPr="00EE5755" w:rsidRDefault="00BF3C74" w:rsidP="00EE5755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EE5755">
        <w:rPr>
          <w:rFonts w:asciiTheme="minorHAnsi" w:hAnsiTheme="minorHAnsi" w:cstheme="minorHAnsi"/>
          <w:sz w:val="24"/>
          <w:szCs w:val="24"/>
        </w:rPr>
        <w:t>District vs State</w:t>
      </w:r>
      <w:r w:rsidR="00777FBD">
        <w:rPr>
          <w:rFonts w:asciiTheme="minorHAnsi" w:hAnsiTheme="minorHAnsi" w:cstheme="minorHAnsi"/>
          <w:sz w:val="24"/>
          <w:szCs w:val="24"/>
        </w:rPr>
        <w:t>:</w:t>
      </w:r>
    </w:p>
    <w:p w:rsidR="00BF3C74" w:rsidRPr="00EE5755" w:rsidRDefault="00BF3C74" w:rsidP="00EE5755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The difference between a district's HealthGap Score and the average HealthGap Score of its state/UT.</w:t>
      </w:r>
    </w:p>
    <w:p w:rsidR="00BF3C74" w:rsidRPr="00EE5755" w:rsidRDefault="00BF3C74" w:rsidP="00EE5755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EE5755">
        <w:rPr>
          <w:rFonts w:asciiTheme="minorHAnsi" w:hAnsiTheme="minorHAnsi" w:cstheme="minorHAnsi"/>
          <w:sz w:val="24"/>
          <w:szCs w:val="24"/>
        </w:rPr>
        <w:t>Positive Indicator</w:t>
      </w:r>
      <w:r w:rsidR="00777FBD">
        <w:rPr>
          <w:rFonts w:asciiTheme="minorHAnsi" w:hAnsiTheme="minorHAnsi" w:cstheme="minorHAnsi"/>
          <w:sz w:val="24"/>
          <w:szCs w:val="24"/>
        </w:rPr>
        <w:t>:</w:t>
      </w:r>
    </w:p>
    <w:p w:rsidR="00BF3C74" w:rsidRPr="00EE5755" w:rsidRDefault="00BF3C74" w:rsidP="00EE5755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An indicator for which higher values generally represent better performance.</w:t>
      </w:r>
    </w:p>
    <w:p w:rsidR="00BF3C74" w:rsidRPr="00EE5755" w:rsidRDefault="00BF3C74" w:rsidP="00EE5755">
      <w:pPr>
        <w:pStyle w:val="Heading3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  <w:sz w:val="24"/>
          <w:szCs w:val="24"/>
        </w:rPr>
      </w:pPr>
      <w:r w:rsidRPr="00EE5755">
        <w:rPr>
          <w:rFonts w:asciiTheme="minorHAnsi" w:hAnsiTheme="minorHAnsi" w:cstheme="minorHAnsi"/>
          <w:sz w:val="24"/>
          <w:szCs w:val="24"/>
        </w:rPr>
        <w:t>Negative Indicator</w:t>
      </w:r>
      <w:r w:rsidR="00777FBD">
        <w:rPr>
          <w:rFonts w:asciiTheme="minorHAnsi" w:hAnsiTheme="minorHAnsi" w:cstheme="minorHAnsi"/>
          <w:sz w:val="24"/>
          <w:szCs w:val="24"/>
        </w:rPr>
        <w:t>:</w:t>
      </w:r>
    </w:p>
    <w:p w:rsidR="00BF3C74" w:rsidRPr="00EE5755" w:rsidRDefault="00BF3C74" w:rsidP="00EE5755">
      <w:pPr>
        <w:pStyle w:val="NormalWeb"/>
        <w:spacing w:before="120" w:beforeAutospacing="0" w:after="120" w:afterAutospacing="0" w:line="276" w:lineRule="auto"/>
        <w:ind w:left="284" w:right="284"/>
        <w:jc w:val="both"/>
        <w:rPr>
          <w:rFonts w:asciiTheme="minorHAnsi" w:hAnsiTheme="minorHAnsi" w:cstheme="minorHAnsi"/>
        </w:rPr>
      </w:pPr>
      <w:r w:rsidRPr="00EE5755">
        <w:rPr>
          <w:rFonts w:asciiTheme="minorHAnsi" w:hAnsiTheme="minorHAnsi" w:cstheme="minorHAnsi"/>
        </w:rPr>
        <w:t>An indicator for which higher values generally represent greater health risk or poorer performance.</w:t>
      </w:r>
    </w:p>
    <w:p w:rsidR="00727218" w:rsidRPr="006D6EDB" w:rsidRDefault="00727218">
      <w:pPr>
        <w:rPr>
          <w:rFonts w:ascii="Calibri" w:hAnsi="Calibri" w:cs="Calibri"/>
        </w:rPr>
      </w:pPr>
    </w:p>
    <w:sectPr w:rsidR="00727218" w:rsidRPr="006D6EDB" w:rsidSect="00A12C11">
      <w:footerReference w:type="default" r:id="rId16"/>
      <w:pgSz w:w="11906" w:h="16838"/>
      <w:pgMar w:top="1440" w:right="1440" w:bottom="1440" w:left="1440" w:header="709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4599" w:rsidRDefault="00EB4599" w:rsidP="00A12C11">
      <w:pPr>
        <w:spacing w:before="0" w:after="0" w:line="240" w:lineRule="auto"/>
      </w:pPr>
      <w:r>
        <w:separator/>
      </w:r>
    </w:p>
  </w:endnote>
  <w:endnote w:type="continuationSeparator" w:id="0">
    <w:p w:rsidR="00EB4599" w:rsidRDefault="00EB4599" w:rsidP="00A12C1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0373590"/>
      <w:docPartObj>
        <w:docPartGallery w:val="Page Numbers (Bottom of Page)"/>
        <w:docPartUnique/>
      </w:docPartObj>
    </w:sdtPr>
    <w:sdtEndPr/>
    <w:sdtContent>
      <w:p w:rsidR="00A12C11" w:rsidRPr="00804BBF" w:rsidRDefault="00A12C11">
        <w:pPr>
          <w:pStyle w:val="Footer"/>
          <w:jc w:val="right"/>
        </w:pPr>
        <w:r w:rsidRPr="00804BBF">
          <w:t xml:space="preserve">Page | </w:t>
        </w:r>
        <w:r w:rsidRPr="00804BBF">
          <w:fldChar w:fldCharType="begin"/>
        </w:r>
        <w:r w:rsidRPr="00804BBF">
          <w:instrText xml:space="preserve"> PAGE   \* MERGEFORMAT </w:instrText>
        </w:r>
        <w:r w:rsidRPr="00804BBF">
          <w:fldChar w:fldCharType="separate"/>
        </w:r>
        <w:r w:rsidR="000755C0">
          <w:rPr>
            <w:noProof/>
          </w:rPr>
          <w:t>17</w:t>
        </w:r>
        <w:r w:rsidRPr="00804BBF">
          <w:rPr>
            <w:noProof/>
          </w:rPr>
          <w:fldChar w:fldCharType="end"/>
        </w:r>
        <w:r w:rsidRPr="00804BBF">
          <w:t xml:space="preserve"> </w:t>
        </w:r>
      </w:p>
    </w:sdtContent>
  </w:sdt>
  <w:p w:rsidR="00A12C11" w:rsidRDefault="00A12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4599" w:rsidRDefault="00EB4599" w:rsidP="00A12C11">
      <w:pPr>
        <w:spacing w:before="0" w:after="0" w:line="240" w:lineRule="auto"/>
      </w:pPr>
      <w:r>
        <w:separator/>
      </w:r>
    </w:p>
  </w:footnote>
  <w:footnote w:type="continuationSeparator" w:id="0">
    <w:p w:rsidR="00EB4599" w:rsidRDefault="00EB4599" w:rsidP="00A12C1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53F49"/>
    <w:multiLevelType w:val="hybridMultilevel"/>
    <w:tmpl w:val="4704F716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4AB450B"/>
    <w:multiLevelType w:val="hybridMultilevel"/>
    <w:tmpl w:val="0DA4D098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AC54B25"/>
    <w:multiLevelType w:val="hybridMultilevel"/>
    <w:tmpl w:val="11CAD27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0AE77EC4"/>
    <w:multiLevelType w:val="hybridMultilevel"/>
    <w:tmpl w:val="0C08E7C4"/>
    <w:lvl w:ilvl="0" w:tplc="4009000F">
      <w:start w:val="1"/>
      <w:numFmt w:val="decimal"/>
      <w:lvlText w:val="%1."/>
      <w:lvlJc w:val="left"/>
      <w:pPr>
        <w:ind w:left="1077" w:hanging="360"/>
      </w:pPr>
    </w:lvl>
    <w:lvl w:ilvl="1" w:tplc="40090019" w:tentative="1">
      <w:start w:val="1"/>
      <w:numFmt w:val="lowerLetter"/>
      <w:lvlText w:val="%2."/>
      <w:lvlJc w:val="left"/>
      <w:pPr>
        <w:ind w:left="1797" w:hanging="360"/>
      </w:pPr>
    </w:lvl>
    <w:lvl w:ilvl="2" w:tplc="4009001B" w:tentative="1">
      <w:start w:val="1"/>
      <w:numFmt w:val="lowerRoman"/>
      <w:lvlText w:val="%3."/>
      <w:lvlJc w:val="right"/>
      <w:pPr>
        <w:ind w:left="2517" w:hanging="180"/>
      </w:pPr>
    </w:lvl>
    <w:lvl w:ilvl="3" w:tplc="4009000F" w:tentative="1">
      <w:start w:val="1"/>
      <w:numFmt w:val="decimal"/>
      <w:lvlText w:val="%4."/>
      <w:lvlJc w:val="left"/>
      <w:pPr>
        <w:ind w:left="3237" w:hanging="360"/>
      </w:pPr>
    </w:lvl>
    <w:lvl w:ilvl="4" w:tplc="40090019" w:tentative="1">
      <w:start w:val="1"/>
      <w:numFmt w:val="lowerLetter"/>
      <w:lvlText w:val="%5."/>
      <w:lvlJc w:val="left"/>
      <w:pPr>
        <w:ind w:left="3957" w:hanging="360"/>
      </w:pPr>
    </w:lvl>
    <w:lvl w:ilvl="5" w:tplc="4009001B" w:tentative="1">
      <w:start w:val="1"/>
      <w:numFmt w:val="lowerRoman"/>
      <w:lvlText w:val="%6."/>
      <w:lvlJc w:val="right"/>
      <w:pPr>
        <w:ind w:left="4677" w:hanging="180"/>
      </w:pPr>
    </w:lvl>
    <w:lvl w:ilvl="6" w:tplc="4009000F" w:tentative="1">
      <w:start w:val="1"/>
      <w:numFmt w:val="decimal"/>
      <w:lvlText w:val="%7."/>
      <w:lvlJc w:val="left"/>
      <w:pPr>
        <w:ind w:left="5397" w:hanging="360"/>
      </w:pPr>
    </w:lvl>
    <w:lvl w:ilvl="7" w:tplc="40090019" w:tentative="1">
      <w:start w:val="1"/>
      <w:numFmt w:val="lowerLetter"/>
      <w:lvlText w:val="%8."/>
      <w:lvlJc w:val="left"/>
      <w:pPr>
        <w:ind w:left="6117" w:hanging="360"/>
      </w:pPr>
    </w:lvl>
    <w:lvl w:ilvl="8" w:tplc="40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0D9F4840"/>
    <w:multiLevelType w:val="hybridMultilevel"/>
    <w:tmpl w:val="F530BE7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0F6F43FB"/>
    <w:multiLevelType w:val="hybridMultilevel"/>
    <w:tmpl w:val="7966D7A2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21725AC2"/>
    <w:multiLevelType w:val="multilevel"/>
    <w:tmpl w:val="1AE4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314D0"/>
    <w:multiLevelType w:val="hybridMultilevel"/>
    <w:tmpl w:val="50F8BA1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28353FAF"/>
    <w:multiLevelType w:val="hybridMultilevel"/>
    <w:tmpl w:val="DA44FACC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95557AB"/>
    <w:multiLevelType w:val="multilevel"/>
    <w:tmpl w:val="23D2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841A5"/>
    <w:multiLevelType w:val="multilevel"/>
    <w:tmpl w:val="4EEE62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B1608"/>
    <w:multiLevelType w:val="hybridMultilevel"/>
    <w:tmpl w:val="EEB0567E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315556F2"/>
    <w:multiLevelType w:val="hybridMultilevel"/>
    <w:tmpl w:val="6FB4C65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3E5E5775"/>
    <w:multiLevelType w:val="hybridMultilevel"/>
    <w:tmpl w:val="EE5E559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1C72935"/>
    <w:multiLevelType w:val="multilevel"/>
    <w:tmpl w:val="FD26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2141E"/>
    <w:multiLevelType w:val="hybridMultilevel"/>
    <w:tmpl w:val="E1540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7614F5"/>
    <w:multiLevelType w:val="hybridMultilevel"/>
    <w:tmpl w:val="810647E2"/>
    <w:lvl w:ilvl="0" w:tplc="4009000F">
      <w:start w:val="1"/>
      <w:numFmt w:val="decimal"/>
      <w:lvlText w:val="%1."/>
      <w:lvlJc w:val="left"/>
      <w:pPr>
        <w:ind w:left="1077" w:hanging="360"/>
      </w:pPr>
    </w:lvl>
    <w:lvl w:ilvl="1" w:tplc="40090019" w:tentative="1">
      <w:start w:val="1"/>
      <w:numFmt w:val="lowerLetter"/>
      <w:lvlText w:val="%2."/>
      <w:lvlJc w:val="left"/>
      <w:pPr>
        <w:ind w:left="1797" w:hanging="360"/>
      </w:pPr>
    </w:lvl>
    <w:lvl w:ilvl="2" w:tplc="4009001B" w:tentative="1">
      <w:start w:val="1"/>
      <w:numFmt w:val="lowerRoman"/>
      <w:lvlText w:val="%3."/>
      <w:lvlJc w:val="right"/>
      <w:pPr>
        <w:ind w:left="2517" w:hanging="180"/>
      </w:pPr>
    </w:lvl>
    <w:lvl w:ilvl="3" w:tplc="4009000F" w:tentative="1">
      <w:start w:val="1"/>
      <w:numFmt w:val="decimal"/>
      <w:lvlText w:val="%4."/>
      <w:lvlJc w:val="left"/>
      <w:pPr>
        <w:ind w:left="3237" w:hanging="360"/>
      </w:pPr>
    </w:lvl>
    <w:lvl w:ilvl="4" w:tplc="40090019" w:tentative="1">
      <w:start w:val="1"/>
      <w:numFmt w:val="lowerLetter"/>
      <w:lvlText w:val="%5."/>
      <w:lvlJc w:val="left"/>
      <w:pPr>
        <w:ind w:left="3957" w:hanging="360"/>
      </w:pPr>
    </w:lvl>
    <w:lvl w:ilvl="5" w:tplc="4009001B" w:tentative="1">
      <w:start w:val="1"/>
      <w:numFmt w:val="lowerRoman"/>
      <w:lvlText w:val="%6."/>
      <w:lvlJc w:val="right"/>
      <w:pPr>
        <w:ind w:left="4677" w:hanging="180"/>
      </w:pPr>
    </w:lvl>
    <w:lvl w:ilvl="6" w:tplc="4009000F" w:tentative="1">
      <w:start w:val="1"/>
      <w:numFmt w:val="decimal"/>
      <w:lvlText w:val="%7."/>
      <w:lvlJc w:val="left"/>
      <w:pPr>
        <w:ind w:left="5397" w:hanging="360"/>
      </w:pPr>
    </w:lvl>
    <w:lvl w:ilvl="7" w:tplc="40090019" w:tentative="1">
      <w:start w:val="1"/>
      <w:numFmt w:val="lowerLetter"/>
      <w:lvlText w:val="%8."/>
      <w:lvlJc w:val="left"/>
      <w:pPr>
        <w:ind w:left="6117" w:hanging="360"/>
      </w:pPr>
    </w:lvl>
    <w:lvl w:ilvl="8" w:tplc="40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4CF77516"/>
    <w:multiLevelType w:val="hybridMultilevel"/>
    <w:tmpl w:val="4CBC496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51102AC5"/>
    <w:multiLevelType w:val="hybridMultilevel"/>
    <w:tmpl w:val="FA5650F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561C2B61"/>
    <w:multiLevelType w:val="hybridMultilevel"/>
    <w:tmpl w:val="B3B49D1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3B38EA"/>
    <w:multiLevelType w:val="multilevel"/>
    <w:tmpl w:val="76A8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70F8E"/>
    <w:multiLevelType w:val="hybridMultilevel"/>
    <w:tmpl w:val="B61A82C8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607E0C1A"/>
    <w:multiLevelType w:val="hybridMultilevel"/>
    <w:tmpl w:val="F32EE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2BF7BA9"/>
    <w:multiLevelType w:val="multilevel"/>
    <w:tmpl w:val="880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8368D"/>
    <w:multiLevelType w:val="hybridMultilevel"/>
    <w:tmpl w:val="B3B49D1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893254F"/>
    <w:multiLevelType w:val="hybridMultilevel"/>
    <w:tmpl w:val="F2CADA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B6C5B70"/>
    <w:multiLevelType w:val="multilevel"/>
    <w:tmpl w:val="342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3699B"/>
    <w:multiLevelType w:val="hybridMultilevel"/>
    <w:tmpl w:val="54F48464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752E4910"/>
    <w:multiLevelType w:val="hybridMultilevel"/>
    <w:tmpl w:val="56D6BD8C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9" w15:restartNumberingAfterBreak="0">
    <w:nsid w:val="7AAE258E"/>
    <w:multiLevelType w:val="hybridMultilevel"/>
    <w:tmpl w:val="FE3E2C9C"/>
    <w:lvl w:ilvl="0" w:tplc="4009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0" w15:restartNumberingAfterBreak="0">
    <w:nsid w:val="7C5B1147"/>
    <w:multiLevelType w:val="hybridMultilevel"/>
    <w:tmpl w:val="11C86714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7CDF3FFF"/>
    <w:multiLevelType w:val="hybridMultilevel"/>
    <w:tmpl w:val="9DC8B102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13"/>
  </w:num>
  <w:num w:numId="5">
    <w:abstractNumId w:val="4"/>
  </w:num>
  <w:num w:numId="6">
    <w:abstractNumId w:val="1"/>
  </w:num>
  <w:num w:numId="7">
    <w:abstractNumId w:val="31"/>
  </w:num>
  <w:num w:numId="8">
    <w:abstractNumId w:val="2"/>
  </w:num>
  <w:num w:numId="9">
    <w:abstractNumId w:val="29"/>
  </w:num>
  <w:num w:numId="10">
    <w:abstractNumId w:val="0"/>
  </w:num>
  <w:num w:numId="11">
    <w:abstractNumId w:val="16"/>
  </w:num>
  <w:num w:numId="12">
    <w:abstractNumId w:val="30"/>
  </w:num>
  <w:num w:numId="13">
    <w:abstractNumId w:val="27"/>
  </w:num>
  <w:num w:numId="14">
    <w:abstractNumId w:val="17"/>
  </w:num>
  <w:num w:numId="15">
    <w:abstractNumId w:val="11"/>
  </w:num>
  <w:num w:numId="16">
    <w:abstractNumId w:val="28"/>
  </w:num>
  <w:num w:numId="17">
    <w:abstractNumId w:val="7"/>
  </w:num>
  <w:num w:numId="18">
    <w:abstractNumId w:val="18"/>
  </w:num>
  <w:num w:numId="19">
    <w:abstractNumId w:val="12"/>
  </w:num>
  <w:num w:numId="20">
    <w:abstractNumId w:val="15"/>
  </w:num>
  <w:num w:numId="21">
    <w:abstractNumId w:val="22"/>
  </w:num>
  <w:num w:numId="22">
    <w:abstractNumId w:val="5"/>
  </w:num>
  <w:num w:numId="23">
    <w:abstractNumId w:val="3"/>
  </w:num>
  <w:num w:numId="24">
    <w:abstractNumId w:val="24"/>
  </w:num>
  <w:num w:numId="25">
    <w:abstractNumId w:val="19"/>
  </w:num>
  <w:num w:numId="26">
    <w:abstractNumId w:val="21"/>
  </w:num>
  <w:num w:numId="27">
    <w:abstractNumId w:val="25"/>
  </w:num>
  <w:num w:numId="28">
    <w:abstractNumId w:val="9"/>
  </w:num>
  <w:num w:numId="29">
    <w:abstractNumId w:val="23"/>
  </w:num>
  <w:num w:numId="30">
    <w:abstractNumId w:val="26"/>
  </w:num>
  <w:num w:numId="31">
    <w:abstractNumId w:val="14"/>
  </w:num>
  <w:num w:numId="32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CCE"/>
    <w:rsid w:val="000747E9"/>
    <w:rsid w:val="000755C0"/>
    <w:rsid w:val="000775FE"/>
    <w:rsid w:val="00157CB5"/>
    <w:rsid w:val="001913CA"/>
    <w:rsid w:val="001A117D"/>
    <w:rsid w:val="00221463"/>
    <w:rsid w:val="00227266"/>
    <w:rsid w:val="00244E4A"/>
    <w:rsid w:val="00264B13"/>
    <w:rsid w:val="002C658D"/>
    <w:rsid w:val="00331EB3"/>
    <w:rsid w:val="003B0CE0"/>
    <w:rsid w:val="00435454"/>
    <w:rsid w:val="004914CA"/>
    <w:rsid w:val="00492EFF"/>
    <w:rsid w:val="004A59C1"/>
    <w:rsid w:val="005848A8"/>
    <w:rsid w:val="006147D2"/>
    <w:rsid w:val="00660FA6"/>
    <w:rsid w:val="006B491C"/>
    <w:rsid w:val="006C431E"/>
    <w:rsid w:val="006D6EDB"/>
    <w:rsid w:val="00727218"/>
    <w:rsid w:val="00763FF6"/>
    <w:rsid w:val="00777FBD"/>
    <w:rsid w:val="007B24EB"/>
    <w:rsid w:val="007C4577"/>
    <w:rsid w:val="00804BBF"/>
    <w:rsid w:val="00805906"/>
    <w:rsid w:val="00815E60"/>
    <w:rsid w:val="008227E8"/>
    <w:rsid w:val="008740FB"/>
    <w:rsid w:val="00894A0F"/>
    <w:rsid w:val="008B6F56"/>
    <w:rsid w:val="008D2C78"/>
    <w:rsid w:val="00905190"/>
    <w:rsid w:val="0091636C"/>
    <w:rsid w:val="00917855"/>
    <w:rsid w:val="00940006"/>
    <w:rsid w:val="0095085C"/>
    <w:rsid w:val="00972CCE"/>
    <w:rsid w:val="00982903"/>
    <w:rsid w:val="00A028FA"/>
    <w:rsid w:val="00A12C11"/>
    <w:rsid w:val="00A43E66"/>
    <w:rsid w:val="00AF60E0"/>
    <w:rsid w:val="00B47781"/>
    <w:rsid w:val="00B648D7"/>
    <w:rsid w:val="00B726AB"/>
    <w:rsid w:val="00B86B20"/>
    <w:rsid w:val="00BC77FF"/>
    <w:rsid w:val="00BF3C74"/>
    <w:rsid w:val="00C31889"/>
    <w:rsid w:val="00CA5434"/>
    <w:rsid w:val="00CB2F30"/>
    <w:rsid w:val="00CF0149"/>
    <w:rsid w:val="00CF2DA5"/>
    <w:rsid w:val="00D50945"/>
    <w:rsid w:val="00DA5720"/>
    <w:rsid w:val="00DB1C61"/>
    <w:rsid w:val="00E708CC"/>
    <w:rsid w:val="00EB4599"/>
    <w:rsid w:val="00ED0B17"/>
    <w:rsid w:val="00EE5755"/>
    <w:rsid w:val="00F03907"/>
    <w:rsid w:val="00F740F4"/>
    <w:rsid w:val="00F80FD9"/>
    <w:rsid w:val="00FF42EB"/>
    <w:rsid w:val="00FF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09048"/>
  <w15:chartTrackingRefBased/>
  <w15:docId w15:val="{31B892DA-8B0B-4202-909B-2FB814396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20" w:after="120" w:line="276" w:lineRule="auto"/>
        <w:ind w:left="284" w:right="28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C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C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B491C"/>
    <w:pPr>
      <w:spacing w:before="100" w:beforeAutospacing="1" w:after="100" w:afterAutospacing="1" w:line="240" w:lineRule="auto"/>
      <w:ind w:left="0" w:right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77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B491C"/>
    <w:pPr>
      <w:spacing w:before="0" w:after="0" w:line="240" w:lineRule="auto"/>
      <w:ind w:left="0" w:right="0"/>
      <w:jc w:val="left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B491C"/>
    <w:rPr>
      <w:rFonts w:eastAsiaTheme="minorEastAsia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B491C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91C"/>
    <w:pPr>
      <w:numPr>
        <w:ilvl w:val="1"/>
      </w:numPr>
      <w:spacing w:after="160"/>
      <w:ind w:left="284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B491C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6B49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6B491C"/>
    <w:pPr>
      <w:spacing w:before="100" w:beforeAutospacing="1" w:after="100" w:afterAutospacing="1" w:line="240" w:lineRule="auto"/>
      <w:ind w:left="0" w:right="0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491C"/>
    <w:rPr>
      <w:b/>
      <w:bCs/>
    </w:rPr>
  </w:style>
  <w:style w:type="paragraph" w:styleId="NormalWeb">
    <w:name w:val="Normal (Web)"/>
    <w:basedOn w:val="Normal"/>
    <w:uiPriority w:val="99"/>
    <w:unhideWhenUsed/>
    <w:rsid w:val="006B491C"/>
    <w:pPr>
      <w:spacing w:before="100" w:beforeAutospacing="1" w:after="100" w:afterAutospacing="1" w:line="240" w:lineRule="auto"/>
      <w:ind w:left="0" w:right="0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BF3C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3C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F3C74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B726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AF60E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B4778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A12C1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C11"/>
  </w:style>
  <w:style w:type="paragraph" w:styleId="Footer">
    <w:name w:val="footer"/>
    <w:basedOn w:val="Normal"/>
    <w:link w:val="FooterChar"/>
    <w:uiPriority w:val="99"/>
    <w:unhideWhenUsed/>
    <w:rsid w:val="00A12C1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C11"/>
  </w:style>
  <w:style w:type="character" w:styleId="Hyperlink">
    <w:name w:val="Hyperlink"/>
    <w:basedOn w:val="DefaultParagraphFont"/>
    <w:uiPriority w:val="99"/>
    <w:unhideWhenUsed/>
    <w:rsid w:val="006C43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.gov.in/catalog/national-family-health-survey-5-nfhs-5-india-districts-factsheet-data-provisional" TargetMode="Externa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F7E4324-1D20-428B-9A22-21283E4F5808}" type="doc">
      <dgm:prSet loTypeId="urn:microsoft.com/office/officeart/2005/8/layout/process2" loCatId="process" qsTypeId="urn:microsoft.com/office/officeart/2005/8/quickstyle/simple1" qsCatId="simple" csTypeId="urn:microsoft.com/office/officeart/2005/8/colors/accent1_1" csCatId="accent1" phldr="1"/>
      <dgm:spPr/>
    </dgm:pt>
    <dgm:pt modelId="{2236B8C7-0910-43D2-BCF0-C4D120C94F21}">
      <dgm:prSet phldrT="[Text]"/>
      <dgm:spPr/>
      <dgm:t>
        <a:bodyPr/>
        <a:lstStyle/>
        <a:p>
          <a:r>
            <a:rPr lang="en-IN"/>
            <a:t>Raw Healthcare Data</a:t>
          </a:r>
          <a:endParaRPr lang="en-US"/>
        </a:p>
      </dgm:t>
    </dgm:pt>
    <dgm:pt modelId="{9A36EC55-3884-43D3-AA9A-713F13E2504B}" type="parTrans" cxnId="{FB54F416-DE10-44EE-A44D-206C0555F3A6}">
      <dgm:prSet/>
      <dgm:spPr/>
      <dgm:t>
        <a:bodyPr/>
        <a:lstStyle/>
        <a:p>
          <a:endParaRPr lang="en-US"/>
        </a:p>
      </dgm:t>
    </dgm:pt>
    <dgm:pt modelId="{0C9E3B1D-384D-4949-9966-5BE9C654FFE9}" type="sibTrans" cxnId="{FB54F416-DE10-44EE-A44D-206C0555F3A6}">
      <dgm:prSet/>
      <dgm:spPr/>
      <dgm:t>
        <a:bodyPr/>
        <a:lstStyle/>
        <a:p>
          <a:endParaRPr lang="en-US"/>
        </a:p>
      </dgm:t>
    </dgm:pt>
    <dgm:pt modelId="{07DA59E5-5416-47A5-B52A-4C3A871BFD04}">
      <dgm:prSet phldrT="[Text]"/>
      <dgm:spPr/>
      <dgm:t>
        <a:bodyPr/>
        <a:lstStyle/>
        <a:p>
          <a:r>
            <a:rPr lang="en-US"/>
            <a:t>DataProfiling</a:t>
          </a:r>
        </a:p>
      </dgm:t>
    </dgm:pt>
    <dgm:pt modelId="{DE5CC3A8-9FEE-44F0-B810-6BAEF5199048}" type="parTrans" cxnId="{904E600F-9465-4B80-86F1-92F8E37F46A5}">
      <dgm:prSet/>
      <dgm:spPr/>
      <dgm:t>
        <a:bodyPr/>
        <a:lstStyle/>
        <a:p>
          <a:endParaRPr lang="en-US"/>
        </a:p>
      </dgm:t>
    </dgm:pt>
    <dgm:pt modelId="{5A5A2BB0-9150-41EA-8E26-4C8E0BD6E9CE}" type="sibTrans" cxnId="{904E600F-9465-4B80-86F1-92F8E37F46A5}">
      <dgm:prSet/>
      <dgm:spPr/>
      <dgm:t>
        <a:bodyPr/>
        <a:lstStyle/>
        <a:p>
          <a:endParaRPr lang="en-US"/>
        </a:p>
      </dgm:t>
    </dgm:pt>
    <dgm:pt modelId="{37D7A07E-0C07-467A-92C7-177A1D692683}">
      <dgm:prSet phldrT="[Text]"/>
      <dgm:spPr/>
      <dgm:t>
        <a:bodyPr/>
        <a:lstStyle/>
        <a:p>
          <a:r>
            <a:rPr lang="en-US"/>
            <a:t>Data Cleaning &amp; Validation</a:t>
          </a:r>
        </a:p>
      </dgm:t>
    </dgm:pt>
    <dgm:pt modelId="{AB762F45-1C1F-4331-8FA6-206887F21A6D}" type="parTrans" cxnId="{EE3F505C-60F8-40ED-B095-25AA9463F74C}">
      <dgm:prSet/>
      <dgm:spPr/>
      <dgm:t>
        <a:bodyPr/>
        <a:lstStyle/>
        <a:p>
          <a:endParaRPr lang="en-US"/>
        </a:p>
      </dgm:t>
    </dgm:pt>
    <dgm:pt modelId="{18344DD2-145F-4BEC-8354-66AB021DE631}" type="sibTrans" cxnId="{EE3F505C-60F8-40ED-B095-25AA9463F74C}">
      <dgm:prSet/>
      <dgm:spPr/>
      <dgm:t>
        <a:bodyPr/>
        <a:lstStyle/>
        <a:p>
          <a:endParaRPr lang="en-US"/>
        </a:p>
      </dgm:t>
    </dgm:pt>
    <dgm:pt modelId="{7A08A669-B14F-4342-982C-AA04E4E3BC63}">
      <dgm:prSet phldrT="[Text]"/>
      <dgm:spPr/>
      <dgm:t>
        <a:bodyPr/>
        <a:lstStyle/>
        <a:p>
          <a:r>
            <a:rPr lang="en-US"/>
            <a:t>Indicator Classification</a:t>
          </a:r>
        </a:p>
      </dgm:t>
    </dgm:pt>
    <dgm:pt modelId="{12D11E37-660D-4EF4-A903-1313E295974C}" type="parTrans" cxnId="{465DEBD2-063A-4B94-BCC0-0CC4BA1B325F}">
      <dgm:prSet/>
      <dgm:spPr/>
      <dgm:t>
        <a:bodyPr/>
        <a:lstStyle/>
        <a:p>
          <a:endParaRPr lang="en-US"/>
        </a:p>
      </dgm:t>
    </dgm:pt>
    <dgm:pt modelId="{CF41B5A7-A617-4FCF-B4A3-E8609DCC7713}" type="sibTrans" cxnId="{465DEBD2-063A-4B94-BCC0-0CC4BA1B325F}">
      <dgm:prSet/>
      <dgm:spPr/>
      <dgm:t>
        <a:bodyPr/>
        <a:lstStyle/>
        <a:p>
          <a:endParaRPr lang="en-US"/>
        </a:p>
      </dgm:t>
    </dgm:pt>
    <dgm:pt modelId="{93885B9C-B31C-44FD-A749-2B4B0B5F559D}">
      <dgm:prSet phldrT="[Text]"/>
      <dgm:spPr/>
      <dgm:t>
        <a:bodyPr/>
        <a:lstStyle/>
        <a:p>
          <a:r>
            <a:rPr lang="en-US"/>
            <a:t>KPI Framework</a:t>
          </a:r>
        </a:p>
      </dgm:t>
    </dgm:pt>
    <dgm:pt modelId="{7088BD80-E2C7-4559-A999-E631C4C7A8F9}" type="parTrans" cxnId="{58C28B8B-174E-41BC-A221-431231BB828B}">
      <dgm:prSet/>
      <dgm:spPr/>
      <dgm:t>
        <a:bodyPr/>
        <a:lstStyle/>
        <a:p>
          <a:endParaRPr lang="en-US"/>
        </a:p>
      </dgm:t>
    </dgm:pt>
    <dgm:pt modelId="{A3B7556E-6231-4F9B-98DC-15ABA1C063E3}" type="sibTrans" cxnId="{58C28B8B-174E-41BC-A221-431231BB828B}">
      <dgm:prSet/>
      <dgm:spPr/>
      <dgm:t>
        <a:bodyPr/>
        <a:lstStyle/>
        <a:p>
          <a:endParaRPr lang="en-US"/>
        </a:p>
      </dgm:t>
    </dgm:pt>
    <dgm:pt modelId="{AD3DF0FA-6921-4FE7-B62F-53AA5F0E261D}">
      <dgm:prSet phldrT="[Text]"/>
      <dgm:spPr/>
      <dgm:t>
        <a:bodyPr/>
        <a:lstStyle/>
        <a:p>
          <a:r>
            <a:rPr lang="en-US"/>
            <a:t>Exploratory Data Analysis</a:t>
          </a:r>
        </a:p>
      </dgm:t>
    </dgm:pt>
    <dgm:pt modelId="{B2762865-190C-4707-873B-1C2FD4E949AE}" type="parTrans" cxnId="{463437F4-C9DF-4C57-A7F9-0DE026366F20}">
      <dgm:prSet/>
      <dgm:spPr/>
      <dgm:t>
        <a:bodyPr/>
        <a:lstStyle/>
        <a:p>
          <a:endParaRPr lang="en-US"/>
        </a:p>
      </dgm:t>
    </dgm:pt>
    <dgm:pt modelId="{7B4DE4C4-6712-4A73-8415-4B7C606A554F}" type="sibTrans" cxnId="{463437F4-C9DF-4C57-A7F9-0DE026366F20}">
      <dgm:prSet/>
      <dgm:spPr/>
      <dgm:t>
        <a:bodyPr/>
        <a:lstStyle/>
        <a:p>
          <a:endParaRPr lang="en-US"/>
        </a:p>
      </dgm:t>
    </dgm:pt>
    <dgm:pt modelId="{AAA0C142-B222-483A-8274-5509F32B7CA9}">
      <dgm:prSet phldrT="[Text]"/>
      <dgm:spPr/>
      <dgm:t>
        <a:bodyPr/>
        <a:lstStyle/>
        <a:p>
          <a:r>
            <a:rPr lang="en-US"/>
            <a:t>HealthGap Scoring</a:t>
          </a:r>
        </a:p>
      </dgm:t>
    </dgm:pt>
    <dgm:pt modelId="{9BBDB1E2-C681-4AD3-9467-6700330DE2D7}" type="parTrans" cxnId="{E1324902-CD78-476A-A7E4-57F9D61A9070}">
      <dgm:prSet/>
      <dgm:spPr/>
      <dgm:t>
        <a:bodyPr/>
        <a:lstStyle/>
        <a:p>
          <a:endParaRPr lang="en-US"/>
        </a:p>
      </dgm:t>
    </dgm:pt>
    <dgm:pt modelId="{9BCFA1FB-7B77-4CBF-8CA0-EA3F13F2E271}" type="sibTrans" cxnId="{E1324902-CD78-476A-A7E4-57F9D61A9070}">
      <dgm:prSet/>
      <dgm:spPr/>
      <dgm:t>
        <a:bodyPr/>
        <a:lstStyle/>
        <a:p>
          <a:endParaRPr lang="en-US"/>
        </a:p>
      </dgm:t>
    </dgm:pt>
    <dgm:pt modelId="{600CE7AC-6137-4C79-A640-DF1739EB3725}">
      <dgm:prSet phldrT="[Text]"/>
      <dgm:spPr/>
      <dgm:t>
        <a:bodyPr/>
        <a:lstStyle/>
        <a:p>
          <a:r>
            <a:rPr lang="en-US"/>
            <a:t>District Ranking</a:t>
          </a:r>
        </a:p>
      </dgm:t>
    </dgm:pt>
    <dgm:pt modelId="{7BD8E139-1021-4094-A64C-2C12B03958D9}" type="parTrans" cxnId="{46D57920-55E7-42B6-B0DD-1B8D7E192116}">
      <dgm:prSet/>
      <dgm:spPr/>
      <dgm:t>
        <a:bodyPr/>
        <a:lstStyle/>
        <a:p>
          <a:endParaRPr lang="en-US"/>
        </a:p>
      </dgm:t>
    </dgm:pt>
    <dgm:pt modelId="{FBAB51F8-9163-4968-B4F2-A9D34CE0834D}" type="sibTrans" cxnId="{46D57920-55E7-42B6-B0DD-1B8D7E192116}">
      <dgm:prSet/>
      <dgm:spPr/>
      <dgm:t>
        <a:bodyPr/>
        <a:lstStyle/>
        <a:p>
          <a:endParaRPr lang="en-US"/>
        </a:p>
      </dgm:t>
    </dgm:pt>
    <dgm:pt modelId="{D7A000D8-59D7-488F-A469-9206EC22CB81}">
      <dgm:prSet phldrT="[Text]"/>
      <dgm:spPr/>
      <dgm:t>
        <a:bodyPr/>
        <a:lstStyle/>
        <a:p>
          <a:r>
            <a:rPr lang="en-US"/>
            <a:t>State Benchmarking</a:t>
          </a:r>
        </a:p>
      </dgm:t>
    </dgm:pt>
    <dgm:pt modelId="{5BC9BA07-30F6-4871-B8BE-A45428EFB0D3}" type="parTrans" cxnId="{DDCB54A2-68AF-4116-A26F-83A8E39B9746}">
      <dgm:prSet/>
      <dgm:spPr/>
      <dgm:t>
        <a:bodyPr/>
        <a:lstStyle/>
        <a:p>
          <a:endParaRPr lang="en-US"/>
        </a:p>
      </dgm:t>
    </dgm:pt>
    <dgm:pt modelId="{4272FB12-CD44-4182-A5F0-E23CDB902E5C}" type="sibTrans" cxnId="{DDCB54A2-68AF-4116-A26F-83A8E39B9746}">
      <dgm:prSet/>
      <dgm:spPr/>
      <dgm:t>
        <a:bodyPr/>
        <a:lstStyle/>
        <a:p>
          <a:endParaRPr lang="en-US"/>
        </a:p>
      </dgm:t>
    </dgm:pt>
    <dgm:pt modelId="{DB05DAAA-D6D5-477B-B245-AE7BD432C641}">
      <dgm:prSet phldrT="[Text]"/>
      <dgm:spPr/>
      <dgm:t>
        <a:bodyPr/>
        <a:lstStyle/>
        <a:p>
          <a:r>
            <a:rPr lang="en-US"/>
            <a:t>Power Query Transformation</a:t>
          </a:r>
        </a:p>
      </dgm:t>
    </dgm:pt>
    <dgm:pt modelId="{D45FBE07-41EA-41EB-84D5-7A3611520129}" type="parTrans" cxnId="{3232D5B7-7D39-4471-A4B0-B663932C0B63}">
      <dgm:prSet/>
      <dgm:spPr/>
      <dgm:t>
        <a:bodyPr/>
        <a:lstStyle/>
        <a:p>
          <a:endParaRPr lang="en-US"/>
        </a:p>
      </dgm:t>
    </dgm:pt>
    <dgm:pt modelId="{E56D9B9F-6177-4C78-B09D-BACB54A899BA}" type="sibTrans" cxnId="{3232D5B7-7D39-4471-A4B0-B663932C0B63}">
      <dgm:prSet/>
      <dgm:spPr/>
      <dgm:t>
        <a:bodyPr/>
        <a:lstStyle/>
        <a:p>
          <a:endParaRPr lang="en-US"/>
        </a:p>
      </dgm:t>
    </dgm:pt>
    <dgm:pt modelId="{547244AA-9D23-48D8-A83E-A437E68DAF52}">
      <dgm:prSet phldrT="[Text]"/>
      <dgm:spPr/>
      <dgm:t>
        <a:bodyPr/>
        <a:lstStyle/>
        <a:p>
          <a:r>
            <a:rPr lang="en-US"/>
            <a:t>Power BI Data Model</a:t>
          </a:r>
        </a:p>
      </dgm:t>
    </dgm:pt>
    <dgm:pt modelId="{FB080A44-90FB-4C7F-850F-E534FA437223}" type="parTrans" cxnId="{03D16DB7-086E-46EF-9926-F0EBC7484384}">
      <dgm:prSet/>
      <dgm:spPr/>
      <dgm:t>
        <a:bodyPr/>
        <a:lstStyle/>
        <a:p>
          <a:endParaRPr lang="en-US"/>
        </a:p>
      </dgm:t>
    </dgm:pt>
    <dgm:pt modelId="{42D5834A-D04E-43DC-B40E-964F3E724E0F}" type="sibTrans" cxnId="{03D16DB7-086E-46EF-9926-F0EBC7484384}">
      <dgm:prSet/>
      <dgm:spPr/>
      <dgm:t>
        <a:bodyPr/>
        <a:lstStyle/>
        <a:p>
          <a:endParaRPr lang="en-US"/>
        </a:p>
      </dgm:t>
    </dgm:pt>
    <dgm:pt modelId="{26508E0D-D0F2-44E8-9E5F-2F72935E93B4}">
      <dgm:prSet phldrT="[Text]"/>
      <dgm:spPr/>
      <dgm:t>
        <a:bodyPr/>
        <a:lstStyle/>
        <a:p>
          <a:r>
            <a:rPr lang="en-US"/>
            <a:t>Interactive Dashboard</a:t>
          </a:r>
        </a:p>
      </dgm:t>
    </dgm:pt>
    <dgm:pt modelId="{986B94A1-C812-463C-B6CB-904B517F544C}" type="parTrans" cxnId="{8AF8AD4B-9B05-45B2-82CC-E867A15DAA70}">
      <dgm:prSet/>
      <dgm:spPr/>
      <dgm:t>
        <a:bodyPr/>
        <a:lstStyle/>
        <a:p>
          <a:endParaRPr lang="en-US"/>
        </a:p>
      </dgm:t>
    </dgm:pt>
    <dgm:pt modelId="{E16B2FD5-542A-4A74-965B-97D9D36473DC}" type="sibTrans" cxnId="{8AF8AD4B-9B05-45B2-82CC-E867A15DAA70}">
      <dgm:prSet/>
      <dgm:spPr/>
      <dgm:t>
        <a:bodyPr/>
        <a:lstStyle/>
        <a:p>
          <a:endParaRPr lang="en-US"/>
        </a:p>
      </dgm:t>
    </dgm:pt>
    <dgm:pt modelId="{1ECDE779-C238-474D-BBF2-5962EF12DDAB}">
      <dgm:prSet phldrT="[Text]"/>
      <dgm:spPr/>
      <dgm:t>
        <a:bodyPr/>
        <a:lstStyle/>
        <a:p>
          <a:r>
            <a:rPr lang="en-US"/>
            <a:t>Business Insights</a:t>
          </a:r>
        </a:p>
      </dgm:t>
    </dgm:pt>
    <dgm:pt modelId="{DB5CB2CE-5A7C-44B9-A19D-0D3EF3D205C3}" type="parTrans" cxnId="{0FBAB972-BE5E-4B81-B2FA-AE883FA7F575}">
      <dgm:prSet/>
      <dgm:spPr/>
      <dgm:t>
        <a:bodyPr/>
        <a:lstStyle/>
        <a:p>
          <a:endParaRPr lang="en-US"/>
        </a:p>
      </dgm:t>
    </dgm:pt>
    <dgm:pt modelId="{740F646E-75F7-4181-953D-B38B0A774E51}" type="sibTrans" cxnId="{0FBAB972-BE5E-4B81-B2FA-AE883FA7F575}">
      <dgm:prSet/>
      <dgm:spPr/>
      <dgm:t>
        <a:bodyPr/>
        <a:lstStyle/>
        <a:p>
          <a:endParaRPr lang="en-US"/>
        </a:p>
      </dgm:t>
    </dgm:pt>
    <dgm:pt modelId="{7200FD45-48DA-4583-A340-2235EF31CDA0}">
      <dgm:prSet phldrT="[Text]"/>
      <dgm:spPr/>
      <dgm:t>
        <a:bodyPr/>
        <a:lstStyle/>
        <a:p>
          <a:r>
            <a:rPr lang="en-US"/>
            <a:t>Final Documentation</a:t>
          </a:r>
        </a:p>
      </dgm:t>
    </dgm:pt>
    <dgm:pt modelId="{BEA1B405-6510-45BC-A578-E41F3C7946C1}" type="parTrans" cxnId="{BC1F8B9A-70FE-4363-9544-FBAD30A420DC}">
      <dgm:prSet/>
      <dgm:spPr/>
      <dgm:t>
        <a:bodyPr/>
        <a:lstStyle/>
        <a:p>
          <a:endParaRPr lang="en-US"/>
        </a:p>
      </dgm:t>
    </dgm:pt>
    <dgm:pt modelId="{1ADFDD30-A803-4428-AD80-A9B5CF6AE408}" type="sibTrans" cxnId="{BC1F8B9A-70FE-4363-9544-FBAD30A420DC}">
      <dgm:prSet/>
      <dgm:spPr/>
      <dgm:t>
        <a:bodyPr/>
        <a:lstStyle/>
        <a:p>
          <a:endParaRPr lang="en-US"/>
        </a:p>
      </dgm:t>
    </dgm:pt>
    <dgm:pt modelId="{5FE3BE9D-A4E5-4E7D-A562-BE44B23B4BE2}" type="pres">
      <dgm:prSet presAssocID="{CF7E4324-1D20-428B-9A22-21283E4F5808}" presName="linearFlow" presStyleCnt="0">
        <dgm:presLayoutVars>
          <dgm:resizeHandles val="exact"/>
        </dgm:presLayoutVars>
      </dgm:prSet>
      <dgm:spPr/>
    </dgm:pt>
    <dgm:pt modelId="{F73914EC-BD96-4497-8F51-435D423CC186}" type="pres">
      <dgm:prSet presAssocID="{2236B8C7-0910-43D2-BCF0-C4D120C94F21}" presName="node" presStyleLbl="node1" presStyleIdx="0" presStyleCnt="14" custScaleX="14932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C68867E-A138-4352-B0F8-AA38E6C75076}" type="pres">
      <dgm:prSet presAssocID="{0C9E3B1D-384D-4949-9966-5BE9C654FFE9}" presName="sibTrans" presStyleLbl="sibTrans2D1" presStyleIdx="0" presStyleCnt="13"/>
      <dgm:spPr/>
      <dgm:t>
        <a:bodyPr/>
        <a:lstStyle/>
        <a:p>
          <a:endParaRPr lang="en-US"/>
        </a:p>
      </dgm:t>
    </dgm:pt>
    <dgm:pt modelId="{D48773E9-E9E8-4591-A440-16CA55E50E47}" type="pres">
      <dgm:prSet presAssocID="{0C9E3B1D-384D-4949-9966-5BE9C654FFE9}" presName="connectorText" presStyleLbl="sibTrans2D1" presStyleIdx="0" presStyleCnt="13"/>
      <dgm:spPr/>
      <dgm:t>
        <a:bodyPr/>
        <a:lstStyle/>
        <a:p>
          <a:endParaRPr lang="en-US"/>
        </a:p>
      </dgm:t>
    </dgm:pt>
    <dgm:pt modelId="{3D2E2318-2B85-488C-BC3E-DBFEDE3C9E6F}" type="pres">
      <dgm:prSet presAssocID="{07DA59E5-5416-47A5-B52A-4C3A871BFD04}" presName="node" presStyleLbl="node1" presStyleIdx="1" presStyleCnt="14" custScaleX="14819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82E133B-5655-4281-BB39-96D4491EEDD5}" type="pres">
      <dgm:prSet presAssocID="{5A5A2BB0-9150-41EA-8E26-4C8E0BD6E9CE}" presName="sibTrans" presStyleLbl="sibTrans2D1" presStyleIdx="1" presStyleCnt="13"/>
      <dgm:spPr/>
      <dgm:t>
        <a:bodyPr/>
        <a:lstStyle/>
        <a:p>
          <a:endParaRPr lang="en-US"/>
        </a:p>
      </dgm:t>
    </dgm:pt>
    <dgm:pt modelId="{C6FEDE73-C5B2-4C7F-9DC8-6EC89D419539}" type="pres">
      <dgm:prSet presAssocID="{5A5A2BB0-9150-41EA-8E26-4C8E0BD6E9CE}" presName="connectorText" presStyleLbl="sibTrans2D1" presStyleIdx="1" presStyleCnt="13"/>
      <dgm:spPr/>
      <dgm:t>
        <a:bodyPr/>
        <a:lstStyle/>
        <a:p>
          <a:endParaRPr lang="en-US"/>
        </a:p>
      </dgm:t>
    </dgm:pt>
    <dgm:pt modelId="{65397841-2DE9-41F3-9A31-D30AEB38852D}" type="pres">
      <dgm:prSet presAssocID="{37D7A07E-0C07-467A-92C7-177A1D692683}" presName="node" presStyleLbl="node1" presStyleIdx="2" presStyleCnt="14" custScaleX="15383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BB36E8D-F015-4821-B82C-31EC78B35F1B}" type="pres">
      <dgm:prSet presAssocID="{18344DD2-145F-4BEC-8354-66AB021DE631}" presName="sibTrans" presStyleLbl="sibTrans2D1" presStyleIdx="2" presStyleCnt="13"/>
      <dgm:spPr/>
      <dgm:t>
        <a:bodyPr/>
        <a:lstStyle/>
        <a:p>
          <a:endParaRPr lang="en-US"/>
        </a:p>
      </dgm:t>
    </dgm:pt>
    <dgm:pt modelId="{83BEB39D-4967-4EF0-9EBE-478C79A3350C}" type="pres">
      <dgm:prSet presAssocID="{18344DD2-145F-4BEC-8354-66AB021DE631}" presName="connectorText" presStyleLbl="sibTrans2D1" presStyleIdx="2" presStyleCnt="13"/>
      <dgm:spPr/>
      <dgm:t>
        <a:bodyPr/>
        <a:lstStyle/>
        <a:p>
          <a:endParaRPr lang="en-US"/>
        </a:p>
      </dgm:t>
    </dgm:pt>
    <dgm:pt modelId="{9F0B52B2-8329-4235-8B3A-05947696D4D4}" type="pres">
      <dgm:prSet presAssocID="{7A08A669-B14F-4342-982C-AA04E4E3BC63}" presName="node" presStyleLbl="node1" presStyleIdx="3" presStyleCnt="14" custScaleX="15721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EB2333D-5A86-47A1-BC7A-CFE0F8B929D2}" type="pres">
      <dgm:prSet presAssocID="{CF41B5A7-A617-4FCF-B4A3-E8609DCC7713}" presName="sibTrans" presStyleLbl="sibTrans2D1" presStyleIdx="3" presStyleCnt="13"/>
      <dgm:spPr/>
      <dgm:t>
        <a:bodyPr/>
        <a:lstStyle/>
        <a:p>
          <a:endParaRPr lang="en-US"/>
        </a:p>
      </dgm:t>
    </dgm:pt>
    <dgm:pt modelId="{2E21D6A7-4FB8-4BB8-81D2-525ABC1E89B5}" type="pres">
      <dgm:prSet presAssocID="{CF41B5A7-A617-4FCF-B4A3-E8609DCC7713}" presName="connectorText" presStyleLbl="sibTrans2D1" presStyleIdx="3" presStyleCnt="13"/>
      <dgm:spPr/>
      <dgm:t>
        <a:bodyPr/>
        <a:lstStyle/>
        <a:p>
          <a:endParaRPr lang="en-US"/>
        </a:p>
      </dgm:t>
    </dgm:pt>
    <dgm:pt modelId="{B4A1DCAE-C7DF-4027-8DE3-AFF6B25B79BA}" type="pres">
      <dgm:prSet presAssocID="{93885B9C-B31C-44FD-A749-2B4B0B5F559D}" presName="node" presStyleLbl="node1" presStyleIdx="4" presStyleCnt="14" custScaleX="15721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38AC236-98AE-4E94-9CE5-3C8A1813DC13}" type="pres">
      <dgm:prSet presAssocID="{A3B7556E-6231-4F9B-98DC-15ABA1C063E3}" presName="sibTrans" presStyleLbl="sibTrans2D1" presStyleIdx="4" presStyleCnt="13"/>
      <dgm:spPr/>
      <dgm:t>
        <a:bodyPr/>
        <a:lstStyle/>
        <a:p>
          <a:endParaRPr lang="en-US"/>
        </a:p>
      </dgm:t>
    </dgm:pt>
    <dgm:pt modelId="{34EB2C17-F50B-4141-9D25-152C9E6723EF}" type="pres">
      <dgm:prSet presAssocID="{A3B7556E-6231-4F9B-98DC-15ABA1C063E3}" presName="connectorText" presStyleLbl="sibTrans2D1" presStyleIdx="4" presStyleCnt="13"/>
      <dgm:spPr/>
      <dgm:t>
        <a:bodyPr/>
        <a:lstStyle/>
        <a:p>
          <a:endParaRPr lang="en-US"/>
        </a:p>
      </dgm:t>
    </dgm:pt>
    <dgm:pt modelId="{AEC8BC08-F38F-49C9-870E-CB935DC5DD10}" type="pres">
      <dgm:prSet presAssocID="{AD3DF0FA-6921-4FE7-B62F-53AA5F0E261D}" presName="node" presStyleLbl="node1" presStyleIdx="5" presStyleCnt="14" custScaleX="15721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6F0A8F0-FD9E-4595-9219-3C35C5ADC390}" type="pres">
      <dgm:prSet presAssocID="{7B4DE4C4-6712-4A73-8415-4B7C606A554F}" presName="sibTrans" presStyleLbl="sibTrans2D1" presStyleIdx="5" presStyleCnt="13"/>
      <dgm:spPr/>
      <dgm:t>
        <a:bodyPr/>
        <a:lstStyle/>
        <a:p>
          <a:endParaRPr lang="en-US"/>
        </a:p>
      </dgm:t>
    </dgm:pt>
    <dgm:pt modelId="{EC9FB867-F1EB-4186-B919-E8D1BA01287B}" type="pres">
      <dgm:prSet presAssocID="{7B4DE4C4-6712-4A73-8415-4B7C606A554F}" presName="connectorText" presStyleLbl="sibTrans2D1" presStyleIdx="5" presStyleCnt="13"/>
      <dgm:spPr/>
      <dgm:t>
        <a:bodyPr/>
        <a:lstStyle/>
        <a:p>
          <a:endParaRPr lang="en-US"/>
        </a:p>
      </dgm:t>
    </dgm:pt>
    <dgm:pt modelId="{94F85C33-4ED1-474D-8F71-04F40717BB3C}" type="pres">
      <dgm:prSet presAssocID="{AAA0C142-B222-483A-8274-5509F32B7CA9}" presName="node" presStyleLbl="node1" presStyleIdx="6" presStyleCnt="14" custScaleX="16059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A6732B4-26B4-4EA8-A82E-1A3096A34908}" type="pres">
      <dgm:prSet presAssocID="{9BCFA1FB-7B77-4CBF-8CA0-EA3F13F2E271}" presName="sibTrans" presStyleLbl="sibTrans2D1" presStyleIdx="6" presStyleCnt="13"/>
      <dgm:spPr/>
      <dgm:t>
        <a:bodyPr/>
        <a:lstStyle/>
        <a:p>
          <a:endParaRPr lang="en-US"/>
        </a:p>
      </dgm:t>
    </dgm:pt>
    <dgm:pt modelId="{332D51F4-D770-4EFC-AFD4-62E589805DB9}" type="pres">
      <dgm:prSet presAssocID="{9BCFA1FB-7B77-4CBF-8CA0-EA3F13F2E271}" presName="connectorText" presStyleLbl="sibTrans2D1" presStyleIdx="6" presStyleCnt="13"/>
      <dgm:spPr/>
      <dgm:t>
        <a:bodyPr/>
        <a:lstStyle/>
        <a:p>
          <a:endParaRPr lang="en-US"/>
        </a:p>
      </dgm:t>
    </dgm:pt>
    <dgm:pt modelId="{CFF72423-B6C0-498C-BBEE-4E68C4C94F53}" type="pres">
      <dgm:prSet presAssocID="{600CE7AC-6137-4C79-A640-DF1739EB3725}" presName="node" presStyleLbl="node1" presStyleIdx="7" presStyleCnt="14" custScaleX="16059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6F8C4E1-D6FE-4E46-83DC-B8CF72CCF771}" type="pres">
      <dgm:prSet presAssocID="{FBAB51F8-9163-4968-B4F2-A9D34CE0834D}" presName="sibTrans" presStyleLbl="sibTrans2D1" presStyleIdx="7" presStyleCnt="13"/>
      <dgm:spPr/>
      <dgm:t>
        <a:bodyPr/>
        <a:lstStyle/>
        <a:p>
          <a:endParaRPr lang="en-US"/>
        </a:p>
      </dgm:t>
    </dgm:pt>
    <dgm:pt modelId="{6E9BD28A-4386-45EA-BC9F-1CA5FBB47F84}" type="pres">
      <dgm:prSet presAssocID="{FBAB51F8-9163-4968-B4F2-A9D34CE0834D}" presName="connectorText" presStyleLbl="sibTrans2D1" presStyleIdx="7" presStyleCnt="13"/>
      <dgm:spPr/>
      <dgm:t>
        <a:bodyPr/>
        <a:lstStyle/>
        <a:p>
          <a:endParaRPr lang="en-US"/>
        </a:p>
      </dgm:t>
    </dgm:pt>
    <dgm:pt modelId="{687A34C1-480D-4D62-A911-9A64D31BDB05}" type="pres">
      <dgm:prSet presAssocID="{D7A000D8-59D7-488F-A469-9206EC22CB81}" presName="node" presStyleLbl="node1" presStyleIdx="8" presStyleCnt="14" custScaleX="15833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B6DB19F-478D-4390-97ED-A8A6B9D11002}" type="pres">
      <dgm:prSet presAssocID="{4272FB12-CD44-4182-A5F0-E23CDB902E5C}" presName="sibTrans" presStyleLbl="sibTrans2D1" presStyleIdx="8" presStyleCnt="13"/>
      <dgm:spPr/>
      <dgm:t>
        <a:bodyPr/>
        <a:lstStyle/>
        <a:p>
          <a:endParaRPr lang="en-US"/>
        </a:p>
      </dgm:t>
    </dgm:pt>
    <dgm:pt modelId="{D1F08D57-9366-4D1E-8C98-AC580858AF06}" type="pres">
      <dgm:prSet presAssocID="{4272FB12-CD44-4182-A5F0-E23CDB902E5C}" presName="connectorText" presStyleLbl="sibTrans2D1" presStyleIdx="8" presStyleCnt="13"/>
      <dgm:spPr/>
      <dgm:t>
        <a:bodyPr/>
        <a:lstStyle/>
        <a:p>
          <a:endParaRPr lang="en-US"/>
        </a:p>
      </dgm:t>
    </dgm:pt>
    <dgm:pt modelId="{04305358-B55D-4126-8834-A45FF50E1EC1}" type="pres">
      <dgm:prSet presAssocID="{DB05DAAA-D6D5-477B-B245-AE7BD432C641}" presName="node" presStyleLbl="node1" presStyleIdx="9" presStyleCnt="14" custScaleX="15833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52F3B1B-BF90-4759-BBDC-F6BC7178A0A6}" type="pres">
      <dgm:prSet presAssocID="{E56D9B9F-6177-4C78-B09D-BACB54A899BA}" presName="sibTrans" presStyleLbl="sibTrans2D1" presStyleIdx="9" presStyleCnt="13"/>
      <dgm:spPr/>
      <dgm:t>
        <a:bodyPr/>
        <a:lstStyle/>
        <a:p>
          <a:endParaRPr lang="en-US"/>
        </a:p>
      </dgm:t>
    </dgm:pt>
    <dgm:pt modelId="{23140C15-66BA-4DD5-A6A0-C2D82B67C84B}" type="pres">
      <dgm:prSet presAssocID="{E56D9B9F-6177-4C78-B09D-BACB54A899BA}" presName="connectorText" presStyleLbl="sibTrans2D1" presStyleIdx="9" presStyleCnt="13"/>
      <dgm:spPr/>
      <dgm:t>
        <a:bodyPr/>
        <a:lstStyle/>
        <a:p>
          <a:endParaRPr lang="en-US"/>
        </a:p>
      </dgm:t>
    </dgm:pt>
    <dgm:pt modelId="{CB636CB5-DB0C-47BC-B569-5A495ABF530C}" type="pres">
      <dgm:prSet presAssocID="{547244AA-9D23-48D8-A83E-A437E68DAF52}" presName="node" presStyleLbl="node1" presStyleIdx="10" presStyleCnt="14" custScaleX="15608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0193E53-FECD-4763-A103-C598E7060A5B}" type="pres">
      <dgm:prSet presAssocID="{42D5834A-D04E-43DC-B40E-964F3E724E0F}" presName="sibTrans" presStyleLbl="sibTrans2D1" presStyleIdx="10" presStyleCnt="13"/>
      <dgm:spPr/>
      <dgm:t>
        <a:bodyPr/>
        <a:lstStyle/>
        <a:p>
          <a:endParaRPr lang="en-US"/>
        </a:p>
      </dgm:t>
    </dgm:pt>
    <dgm:pt modelId="{F17CD7D0-111B-4C73-A788-6A1EF76FBB19}" type="pres">
      <dgm:prSet presAssocID="{42D5834A-D04E-43DC-B40E-964F3E724E0F}" presName="connectorText" presStyleLbl="sibTrans2D1" presStyleIdx="10" presStyleCnt="13"/>
      <dgm:spPr/>
      <dgm:t>
        <a:bodyPr/>
        <a:lstStyle/>
        <a:p>
          <a:endParaRPr lang="en-US"/>
        </a:p>
      </dgm:t>
    </dgm:pt>
    <dgm:pt modelId="{0FDE81F5-7D8F-484A-9BA4-E6A1ADF28807}" type="pres">
      <dgm:prSet presAssocID="{26508E0D-D0F2-44E8-9E5F-2F72935E93B4}" presName="node" presStyleLbl="node1" presStyleIdx="11" presStyleCnt="14" custScaleX="15383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64B3620-26B0-442B-B958-FD96570CD5E7}" type="pres">
      <dgm:prSet presAssocID="{E16B2FD5-542A-4A74-965B-97D9D36473DC}" presName="sibTrans" presStyleLbl="sibTrans2D1" presStyleIdx="11" presStyleCnt="13"/>
      <dgm:spPr/>
      <dgm:t>
        <a:bodyPr/>
        <a:lstStyle/>
        <a:p>
          <a:endParaRPr lang="en-US"/>
        </a:p>
      </dgm:t>
    </dgm:pt>
    <dgm:pt modelId="{A5FAD4A5-CCC9-4CB7-AACC-21458B66BDDA}" type="pres">
      <dgm:prSet presAssocID="{E16B2FD5-542A-4A74-965B-97D9D36473DC}" presName="connectorText" presStyleLbl="sibTrans2D1" presStyleIdx="11" presStyleCnt="13"/>
      <dgm:spPr/>
      <dgm:t>
        <a:bodyPr/>
        <a:lstStyle/>
        <a:p>
          <a:endParaRPr lang="en-US"/>
        </a:p>
      </dgm:t>
    </dgm:pt>
    <dgm:pt modelId="{E6471E03-B05D-4E7A-93E4-844F77990A41}" type="pres">
      <dgm:prSet presAssocID="{1ECDE779-C238-474D-BBF2-5962EF12DDAB}" presName="node" presStyleLbl="node1" presStyleIdx="12" presStyleCnt="14" custScaleX="15270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046575C-16E2-48FA-9DB3-109BF235CB58}" type="pres">
      <dgm:prSet presAssocID="{740F646E-75F7-4181-953D-B38B0A774E51}" presName="sibTrans" presStyleLbl="sibTrans2D1" presStyleIdx="12" presStyleCnt="13"/>
      <dgm:spPr/>
      <dgm:t>
        <a:bodyPr/>
        <a:lstStyle/>
        <a:p>
          <a:endParaRPr lang="en-US"/>
        </a:p>
      </dgm:t>
    </dgm:pt>
    <dgm:pt modelId="{626A422C-D0FE-4187-8512-AC567A481C9A}" type="pres">
      <dgm:prSet presAssocID="{740F646E-75F7-4181-953D-B38B0A774E51}" presName="connectorText" presStyleLbl="sibTrans2D1" presStyleIdx="12" presStyleCnt="13"/>
      <dgm:spPr/>
      <dgm:t>
        <a:bodyPr/>
        <a:lstStyle/>
        <a:p>
          <a:endParaRPr lang="en-US"/>
        </a:p>
      </dgm:t>
    </dgm:pt>
    <dgm:pt modelId="{B7D23200-BF2A-4684-9ADE-992A9EE3266F}" type="pres">
      <dgm:prSet presAssocID="{7200FD45-48DA-4583-A340-2235EF31CDA0}" presName="node" presStyleLbl="node1" presStyleIdx="13" presStyleCnt="14" custScaleX="14932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FB54F416-DE10-44EE-A44D-206C0555F3A6}" srcId="{CF7E4324-1D20-428B-9A22-21283E4F5808}" destId="{2236B8C7-0910-43D2-BCF0-C4D120C94F21}" srcOrd="0" destOrd="0" parTransId="{9A36EC55-3884-43D3-AA9A-713F13E2504B}" sibTransId="{0C9E3B1D-384D-4949-9966-5BE9C654FFE9}"/>
    <dgm:cxn modelId="{DDCB54A2-68AF-4116-A26F-83A8E39B9746}" srcId="{CF7E4324-1D20-428B-9A22-21283E4F5808}" destId="{D7A000D8-59D7-488F-A469-9206EC22CB81}" srcOrd="8" destOrd="0" parTransId="{5BC9BA07-30F6-4871-B8BE-A45428EFB0D3}" sibTransId="{4272FB12-CD44-4182-A5F0-E23CDB902E5C}"/>
    <dgm:cxn modelId="{0341646B-ADBF-4D2D-99B1-0D4EDB684473}" type="presOf" srcId="{9BCFA1FB-7B77-4CBF-8CA0-EA3F13F2E271}" destId="{BA6732B4-26B4-4EA8-A82E-1A3096A34908}" srcOrd="0" destOrd="0" presId="urn:microsoft.com/office/officeart/2005/8/layout/process2"/>
    <dgm:cxn modelId="{A0DCDB96-B636-4A80-B573-FEBC843D2AD0}" type="presOf" srcId="{9BCFA1FB-7B77-4CBF-8CA0-EA3F13F2E271}" destId="{332D51F4-D770-4EFC-AFD4-62E589805DB9}" srcOrd="1" destOrd="0" presId="urn:microsoft.com/office/officeart/2005/8/layout/process2"/>
    <dgm:cxn modelId="{46D57920-55E7-42B6-B0DD-1B8D7E192116}" srcId="{CF7E4324-1D20-428B-9A22-21283E4F5808}" destId="{600CE7AC-6137-4C79-A640-DF1739EB3725}" srcOrd="7" destOrd="0" parTransId="{7BD8E139-1021-4094-A64C-2C12B03958D9}" sibTransId="{FBAB51F8-9163-4968-B4F2-A9D34CE0834D}"/>
    <dgm:cxn modelId="{056D4C1A-5E1F-4249-9D1C-A5FED0691BF6}" type="presOf" srcId="{D7A000D8-59D7-488F-A469-9206EC22CB81}" destId="{687A34C1-480D-4D62-A911-9A64D31BDB05}" srcOrd="0" destOrd="0" presId="urn:microsoft.com/office/officeart/2005/8/layout/process2"/>
    <dgm:cxn modelId="{176DBEE1-52B5-4B0F-BE75-741AC4E9A44C}" type="presOf" srcId="{18344DD2-145F-4BEC-8354-66AB021DE631}" destId="{EBB36E8D-F015-4821-B82C-31EC78B35F1B}" srcOrd="0" destOrd="0" presId="urn:microsoft.com/office/officeart/2005/8/layout/process2"/>
    <dgm:cxn modelId="{CF845824-6B2D-4F04-BC71-84A94FE4EC63}" type="presOf" srcId="{E16B2FD5-542A-4A74-965B-97D9D36473DC}" destId="{664B3620-26B0-442B-B958-FD96570CD5E7}" srcOrd="0" destOrd="0" presId="urn:microsoft.com/office/officeart/2005/8/layout/process2"/>
    <dgm:cxn modelId="{C429E692-1973-4657-8E3A-D440BACCD284}" type="presOf" srcId="{740F646E-75F7-4181-953D-B38B0A774E51}" destId="{6046575C-16E2-48FA-9DB3-109BF235CB58}" srcOrd="0" destOrd="0" presId="urn:microsoft.com/office/officeart/2005/8/layout/process2"/>
    <dgm:cxn modelId="{1A4CD77B-929E-4A53-B992-E8725B0FDBEB}" type="presOf" srcId="{0C9E3B1D-384D-4949-9966-5BE9C654FFE9}" destId="{D48773E9-E9E8-4591-A440-16CA55E50E47}" srcOrd="1" destOrd="0" presId="urn:microsoft.com/office/officeart/2005/8/layout/process2"/>
    <dgm:cxn modelId="{3232D5B7-7D39-4471-A4B0-B663932C0B63}" srcId="{CF7E4324-1D20-428B-9A22-21283E4F5808}" destId="{DB05DAAA-D6D5-477B-B245-AE7BD432C641}" srcOrd="9" destOrd="0" parTransId="{D45FBE07-41EA-41EB-84D5-7A3611520129}" sibTransId="{E56D9B9F-6177-4C78-B09D-BACB54A899BA}"/>
    <dgm:cxn modelId="{465DEBD2-063A-4B94-BCC0-0CC4BA1B325F}" srcId="{CF7E4324-1D20-428B-9A22-21283E4F5808}" destId="{7A08A669-B14F-4342-982C-AA04E4E3BC63}" srcOrd="3" destOrd="0" parTransId="{12D11E37-660D-4EF4-A903-1313E295974C}" sibTransId="{CF41B5A7-A617-4FCF-B4A3-E8609DCC7713}"/>
    <dgm:cxn modelId="{32F287DB-989C-42C9-940E-74C66D6F94A2}" type="presOf" srcId="{7B4DE4C4-6712-4A73-8415-4B7C606A554F}" destId="{EC9FB867-F1EB-4186-B919-E8D1BA01287B}" srcOrd="1" destOrd="0" presId="urn:microsoft.com/office/officeart/2005/8/layout/process2"/>
    <dgm:cxn modelId="{73BC10F4-CBB2-4987-BE98-991B394EF067}" type="presOf" srcId="{7200FD45-48DA-4583-A340-2235EF31CDA0}" destId="{B7D23200-BF2A-4684-9ADE-992A9EE3266F}" srcOrd="0" destOrd="0" presId="urn:microsoft.com/office/officeart/2005/8/layout/process2"/>
    <dgm:cxn modelId="{F4D3164B-0B4E-4E14-8803-257BDF29AACF}" type="presOf" srcId="{A3B7556E-6231-4F9B-98DC-15ABA1C063E3}" destId="{34EB2C17-F50B-4141-9D25-152C9E6723EF}" srcOrd="1" destOrd="0" presId="urn:microsoft.com/office/officeart/2005/8/layout/process2"/>
    <dgm:cxn modelId="{0FBAB972-BE5E-4B81-B2FA-AE883FA7F575}" srcId="{CF7E4324-1D20-428B-9A22-21283E4F5808}" destId="{1ECDE779-C238-474D-BBF2-5962EF12DDAB}" srcOrd="12" destOrd="0" parTransId="{DB5CB2CE-5A7C-44B9-A19D-0D3EF3D205C3}" sibTransId="{740F646E-75F7-4181-953D-B38B0A774E51}"/>
    <dgm:cxn modelId="{4B489565-442F-4011-8981-2CFF1F4BA2D6}" type="presOf" srcId="{07DA59E5-5416-47A5-B52A-4C3A871BFD04}" destId="{3D2E2318-2B85-488C-BC3E-DBFEDE3C9E6F}" srcOrd="0" destOrd="0" presId="urn:microsoft.com/office/officeart/2005/8/layout/process2"/>
    <dgm:cxn modelId="{03D16DB7-086E-46EF-9926-F0EBC7484384}" srcId="{CF7E4324-1D20-428B-9A22-21283E4F5808}" destId="{547244AA-9D23-48D8-A83E-A437E68DAF52}" srcOrd="10" destOrd="0" parTransId="{FB080A44-90FB-4C7F-850F-E534FA437223}" sibTransId="{42D5834A-D04E-43DC-B40E-964F3E724E0F}"/>
    <dgm:cxn modelId="{ADBCE990-6792-4B55-9C46-D557A8794965}" type="presOf" srcId="{FBAB51F8-9163-4968-B4F2-A9D34CE0834D}" destId="{66F8C4E1-D6FE-4E46-83DC-B8CF72CCF771}" srcOrd="0" destOrd="0" presId="urn:microsoft.com/office/officeart/2005/8/layout/process2"/>
    <dgm:cxn modelId="{862F9131-58E4-432F-ABEA-77BB16D7793A}" type="presOf" srcId="{CF41B5A7-A617-4FCF-B4A3-E8609DCC7713}" destId="{2E21D6A7-4FB8-4BB8-81D2-525ABC1E89B5}" srcOrd="1" destOrd="0" presId="urn:microsoft.com/office/officeart/2005/8/layout/process2"/>
    <dgm:cxn modelId="{ABBFAE5F-18A7-48DF-9003-ABBD60BA7B72}" type="presOf" srcId="{CF41B5A7-A617-4FCF-B4A3-E8609DCC7713}" destId="{EEB2333D-5A86-47A1-BC7A-CFE0F8B929D2}" srcOrd="0" destOrd="0" presId="urn:microsoft.com/office/officeart/2005/8/layout/process2"/>
    <dgm:cxn modelId="{58C28B8B-174E-41BC-A221-431231BB828B}" srcId="{CF7E4324-1D20-428B-9A22-21283E4F5808}" destId="{93885B9C-B31C-44FD-A749-2B4B0B5F559D}" srcOrd="4" destOrd="0" parTransId="{7088BD80-E2C7-4559-A999-E631C4C7A8F9}" sibTransId="{A3B7556E-6231-4F9B-98DC-15ABA1C063E3}"/>
    <dgm:cxn modelId="{F707800D-385F-4534-9857-6E1190F43BFA}" type="presOf" srcId="{DB05DAAA-D6D5-477B-B245-AE7BD432C641}" destId="{04305358-B55D-4126-8834-A45FF50E1EC1}" srcOrd="0" destOrd="0" presId="urn:microsoft.com/office/officeart/2005/8/layout/process2"/>
    <dgm:cxn modelId="{6B5ADE32-6D79-4F97-8711-F4A8FA5A23CE}" type="presOf" srcId="{547244AA-9D23-48D8-A83E-A437E68DAF52}" destId="{CB636CB5-DB0C-47BC-B569-5A495ABF530C}" srcOrd="0" destOrd="0" presId="urn:microsoft.com/office/officeart/2005/8/layout/process2"/>
    <dgm:cxn modelId="{4FE7DE33-BB07-4B8A-96D5-89071A4FF3F0}" type="presOf" srcId="{18344DD2-145F-4BEC-8354-66AB021DE631}" destId="{83BEB39D-4967-4EF0-9EBE-478C79A3350C}" srcOrd="1" destOrd="0" presId="urn:microsoft.com/office/officeart/2005/8/layout/process2"/>
    <dgm:cxn modelId="{3E18239E-EC0C-4152-9348-F8C638939A5A}" type="presOf" srcId="{740F646E-75F7-4181-953D-B38B0A774E51}" destId="{626A422C-D0FE-4187-8512-AC567A481C9A}" srcOrd="1" destOrd="0" presId="urn:microsoft.com/office/officeart/2005/8/layout/process2"/>
    <dgm:cxn modelId="{BC1F8B9A-70FE-4363-9544-FBAD30A420DC}" srcId="{CF7E4324-1D20-428B-9A22-21283E4F5808}" destId="{7200FD45-48DA-4583-A340-2235EF31CDA0}" srcOrd="13" destOrd="0" parTransId="{BEA1B405-6510-45BC-A578-E41F3C7946C1}" sibTransId="{1ADFDD30-A803-4428-AD80-A9B5CF6AE408}"/>
    <dgm:cxn modelId="{B16097B5-5AE5-42F3-ACB9-2D65FA9FC7BC}" type="presOf" srcId="{2236B8C7-0910-43D2-BCF0-C4D120C94F21}" destId="{F73914EC-BD96-4497-8F51-435D423CC186}" srcOrd="0" destOrd="0" presId="urn:microsoft.com/office/officeart/2005/8/layout/process2"/>
    <dgm:cxn modelId="{65EF83F7-7E45-48A2-96DF-356832EDB826}" type="presOf" srcId="{CF7E4324-1D20-428B-9A22-21283E4F5808}" destId="{5FE3BE9D-A4E5-4E7D-A562-BE44B23B4BE2}" srcOrd="0" destOrd="0" presId="urn:microsoft.com/office/officeart/2005/8/layout/process2"/>
    <dgm:cxn modelId="{66F3AE0A-53D3-4D58-86FB-C70CD11AF69A}" type="presOf" srcId="{AD3DF0FA-6921-4FE7-B62F-53AA5F0E261D}" destId="{AEC8BC08-F38F-49C9-870E-CB935DC5DD10}" srcOrd="0" destOrd="0" presId="urn:microsoft.com/office/officeart/2005/8/layout/process2"/>
    <dgm:cxn modelId="{69A34429-66F2-4EA3-9FEB-966A1610A95D}" type="presOf" srcId="{7A08A669-B14F-4342-982C-AA04E4E3BC63}" destId="{9F0B52B2-8329-4235-8B3A-05947696D4D4}" srcOrd="0" destOrd="0" presId="urn:microsoft.com/office/officeart/2005/8/layout/process2"/>
    <dgm:cxn modelId="{E1324902-CD78-476A-A7E4-57F9D61A9070}" srcId="{CF7E4324-1D20-428B-9A22-21283E4F5808}" destId="{AAA0C142-B222-483A-8274-5509F32B7CA9}" srcOrd="6" destOrd="0" parTransId="{9BBDB1E2-C681-4AD3-9467-6700330DE2D7}" sibTransId="{9BCFA1FB-7B77-4CBF-8CA0-EA3F13F2E271}"/>
    <dgm:cxn modelId="{70E68F3A-A99B-4173-9C10-4B76409CC595}" type="presOf" srcId="{AAA0C142-B222-483A-8274-5509F32B7CA9}" destId="{94F85C33-4ED1-474D-8F71-04F40717BB3C}" srcOrd="0" destOrd="0" presId="urn:microsoft.com/office/officeart/2005/8/layout/process2"/>
    <dgm:cxn modelId="{3482F9F0-081A-4BC4-A6EE-67418C4F12AA}" type="presOf" srcId="{7B4DE4C4-6712-4A73-8415-4B7C606A554F}" destId="{F6F0A8F0-FD9E-4595-9219-3C35C5ADC390}" srcOrd="0" destOrd="0" presId="urn:microsoft.com/office/officeart/2005/8/layout/process2"/>
    <dgm:cxn modelId="{4EBA02F7-4C8E-4A2C-A9CE-24E0431992A7}" type="presOf" srcId="{FBAB51F8-9163-4968-B4F2-A9D34CE0834D}" destId="{6E9BD28A-4386-45EA-BC9F-1CA5FBB47F84}" srcOrd="1" destOrd="0" presId="urn:microsoft.com/office/officeart/2005/8/layout/process2"/>
    <dgm:cxn modelId="{09F39F26-2D02-412B-BD1E-B71CF536C02E}" type="presOf" srcId="{600CE7AC-6137-4C79-A640-DF1739EB3725}" destId="{CFF72423-B6C0-498C-BBEE-4E68C4C94F53}" srcOrd="0" destOrd="0" presId="urn:microsoft.com/office/officeart/2005/8/layout/process2"/>
    <dgm:cxn modelId="{507CEA49-2BC7-47B8-8B83-23DDCBC02356}" type="presOf" srcId="{E56D9B9F-6177-4C78-B09D-BACB54A899BA}" destId="{23140C15-66BA-4DD5-A6A0-C2D82B67C84B}" srcOrd="1" destOrd="0" presId="urn:microsoft.com/office/officeart/2005/8/layout/process2"/>
    <dgm:cxn modelId="{7F14980A-E05B-4E8A-A5DE-50812A17537D}" type="presOf" srcId="{26508E0D-D0F2-44E8-9E5F-2F72935E93B4}" destId="{0FDE81F5-7D8F-484A-9BA4-E6A1ADF28807}" srcOrd="0" destOrd="0" presId="urn:microsoft.com/office/officeart/2005/8/layout/process2"/>
    <dgm:cxn modelId="{030FADF8-3EB4-46E6-A452-92C331DDC8B5}" type="presOf" srcId="{37D7A07E-0C07-467A-92C7-177A1D692683}" destId="{65397841-2DE9-41F3-9A31-D30AEB38852D}" srcOrd="0" destOrd="0" presId="urn:microsoft.com/office/officeart/2005/8/layout/process2"/>
    <dgm:cxn modelId="{F3A7DAE0-5110-4103-B271-30642B44740E}" type="presOf" srcId="{E16B2FD5-542A-4A74-965B-97D9D36473DC}" destId="{A5FAD4A5-CCC9-4CB7-AACC-21458B66BDDA}" srcOrd="1" destOrd="0" presId="urn:microsoft.com/office/officeart/2005/8/layout/process2"/>
    <dgm:cxn modelId="{EE3F505C-60F8-40ED-B095-25AA9463F74C}" srcId="{CF7E4324-1D20-428B-9A22-21283E4F5808}" destId="{37D7A07E-0C07-467A-92C7-177A1D692683}" srcOrd="2" destOrd="0" parTransId="{AB762F45-1C1F-4331-8FA6-206887F21A6D}" sibTransId="{18344DD2-145F-4BEC-8354-66AB021DE631}"/>
    <dgm:cxn modelId="{FC0578AC-9469-4C67-A441-2772BF9B6870}" type="presOf" srcId="{1ECDE779-C238-474D-BBF2-5962EF12DDAB}" destId="{E6471E03-B05D-4E7A-93E4-844F77990A41}" srcOrd="0" destOrd="0" presId="urn:microsoft.com/office/officeart/2005/8/layout/process2"/>
    <dgm:cxn modelId="{B80BF181-D9EB-4EF9-9F32-4421C9D7EEC1}" type="presOf" srcId="{4272FB12-CD44-4182-A5F0-E23CDB902E5C}" destId="{D1F08D57-9366-4D1E-8C98-AC580858AF06}" srcOrd="1" destOrd="0" presId="urn:microsoft.com/office/officeart/2005/8/layout/process2"/>
    <dgm:cxn modelId="{C40558F3-5722-44F9-8537-403B00BE2F74}" type="presOf" srcId="{A3B7556E-6231-4F9B-98DC-15ABA1C063E3}" destId="{538AC236-98AE-4E94-9CE5-3C8A1813DC13}" srcOrd="0" destOrd="0" presId="urn:microsoft.com/office/officeart/2005/8/layout/process2"/>
    <dgm:cxn modelId="{51D975E8-172E-4CB5-B282-295F07EA03B3}" type="presOf" srcId="{5A5A2BB0-9150-41EA-8E26-4C8E0BD6E9CE}" destId="{B82E133B-5655-4281-BB39-96D4491EEDD5}" srcOrd="0" destOrd="0" presId="urn:microsoft.com/office/officeart/2005/8/layout/process2"/>
    <dgm:cxn modelId="{9B3965BF-2753-4FAA-9E4C-E6033C9C0278}" type="presOf" srcId="{93885B9C-B31C-44FD-A749-2B4B0B5F559D}" destId="{B4A1DCAE-C7DF-4027-8DE3-AFF6B25B79BA}" srcOrd="0" destOrd="0" presId="urn:microsoft.com/office/officeart/2005/8/layout/process2"/>
    <dgm:cxn modelId="{8AF8AD4B-9B05-45B2-82CC-E867A15DAA70}" srcId="{CF7E4324-1D20-428B-9A22-21283E4F5808}" destId="{26508E0D-D0F2-44E8-9E5F-2F72935E93B4}" srcOrd="11" destOrd="0" parTransId="{986B94A1-C812-463C-B6CB-904B517F544C}" sibTransId="{E16B2FD5-542A-4A74-965B-97D9D36473DC}"/>
    <dgm:cxn modelId="{52A0E678-CEDF-4010-BF1A-6C9F95EB5A46}" type="presOf" srcId="{0C9E3B1D-384D-4949-9966-5BE9C654FFE9}" destId="{DC68867E-A138-4352-B0F8-AA38E6C75076}" srcOrd="0" destOrd="0" presId="urn:microsoft.com/office/officeart/2005/8/layout/process2"/>
    <dgm:cxn modelId="{C2E4171D-FB58-41A5-AE39-731D1AFFA124}" type="presOf" srcId="{42D5834A-D04E-43DC-B40E-964F3E724E0F}" destId="{F17CD7D0-111B-4C73-A788-6A1EF76FBB19}" srcOrd="1" destOrd="0" presId="urn:microsoft.com/office/officeart/2005/8/layout/process2"/>
    <dgm:cxn modelId="{54FE0929-4897-4219-BBA1-DC3A3B429588}" type="presOf" srcId="{4272FB12-CD44-4182-A5F0-E23CDB902E5C}" destId="{3B6DB19F-478D-4390-97ED-A8A6B9D11002}" srcOrd="0" destOrd="0" presId="urn:microsoft.com/office/officeart/2005/8/layout/process2"/>
    <dgm:cxn modelId="{F5E2CB46-88D6-49A2-8027-F86A9D3058C1}" type="presOf" srcId="{42D5834A-D04E-43DC-B40E-964F3E724E0F}" destId="{60193E53-FECD-4763-A103-C598E7060A5B}" srcOrd="0" destOrd="0" presId="urn:microsoft.com/office/officeart/2005/8/layout/process2"/>
    <dgm:cxn modelId="{463437F4-C9DF-4C57-A7F9-0DE026366F20}" srcId="{CF7E4324-1D20-428B-9A22-21283E4F5808}" destId="{AD3DF0FA-6921-4FE7-B62F-53AA5F0E261D}" srcOrd="5" destOrd="0" parTransId="{B2762865-190C-4707-873B-1C2FD4E949AE}" sibTransId="{7B4DE4C4-6712-4A73-8415-4B7C606A554F}"/>
    <dgm:cxn modelId="{DD440F78-5BC4-4FB2-A360-3A23B6C56671}" type="presOf" srcId="{E56D9B9F-6177-4C78-B09D-BACB54A899BA}" destId="{952F3B1B-BF90-4759-BBDC-F6BC7178A0A6}" srcOrd="0" destOrd="0" presId="urn:microsoft.com/office/officeart/2005/8/layout/process2"/>
    <dgm:cxn modelId="{904E600F-9465-4B80-86F1-92F8E37F46A5}" srcId="{CF7E4324-1D20-428B-9A22-21283E4F5808}" destId="{07DA59E5-5416-47A5-B52A-4C3A871BFD04}" srcOrd="1" destOrd="0" parTransId="{DE5CC3A8-9FEE-44F0-B810-6BAEF5199048}" sibTransId="{5A5A2BB0-9150-41EA-8E26-4C8E0BD6E9CE}"/>
    <dgm:cxn modelId="{636EE0C9-1ED9-48D5-B10B-93D030E57B5D}" type="presOf" srcId="{5A5A2BB0-9150-41EA-8E26-4C8E0BD6E9CE}" destId="{C6FEDE73-C5B2-4C7F-9DC8-6EC89D419539}" srcOrd="1" destOrd="0" presId="urn:microsoft.com/office/officeart/2005/8/layout/process2"/>
    <dgm:cxn modelId="{70C3A2D1-C68F-40DF-9352-0DF0BA2C61C1}" type="presParOf" srcId="{5FE3BE9D-A4E5-4E7D-A562-BE44B23B4BE2}" destId="{F73914EC-BD96-4497-8F51-435D423CC186}" srcOrd="0" destOrd="0" presId="urn:microsoft.com/office/officeart/2005/8/layout/process2"/>
    <dgm:cxn modelId="{5EA57F01-5DD4-431D-8838-EE25BE83296F}" type="presParOf" srcId="{5FE3BE9D-A4E5-4E7D-A562-BE44B23B4BE2}" destId="{DC68867E-A138-4352-B0F8-AA38E6C75076}" srcOrd="1" destOrd="0" presId="urn:microsoft.com/office/officeart/2005/8/layout/process2"/>
    <dgm:cxn modelId="{F6298D8B-85A4-4854-BC54-44434067F1A7}" type="presParOf" srcId="{DC68867E-A138-4352-B0F8-AA38E6C75076}" destId="{D48773E9-E9E8-4591-A440-16CA55E50E47}" srcOrd="0" destOrd="0" presId="urn:microsoft.com/office/officeart/2005/8/layout/process2"/>
    <dgm:cxn modelId="{52DAB19D-C31E-4155-B7CD-2B45684F0996}" type="presParOf" srcId="{5FE3BE9D-A4E5-4E7D-A562-BE44B23B4BE2}" destId="{3D2E2318-2B85-488C-BC3E-DBFEDE3C9E6F}" srcOrd="2" destOrd="0" presId="urn:microsoft.com/office/officeart/2005/8/layout/process2"/>
    <dgm:cxn modelId="{EBD8C738-21B5-4B6E-A427-AC7B107E339F}" type="presParOf" srcId="{5FE3BE9D-A4E5-4E7D-A562-BE44B23B4BE2}" destId="{B82E133B-5655-4281-BB39-96D4491EEDD5}" srcOrd="3" destOrd="0" presId="urn:microsoft.com/office/officeart/2005/8/layout/process2"/>
    <dgm:cxn modelId="{2CC43E52-C376-4C1D-823E-D723E778E6D9}" type="presParOf" srcId="{B82E133B-5655-4281-BB39-96D4491EEDD5}" destId="{C6FEDE73-C5B2-4C7F-9DC8-6EC89D419539}" srcOrd="0" destOrd="0" presId="urn:microsoft.com/office/officeart/2005/8/layout/process2"/>
    <dgm:cxn modelId="{296415DD-7B55-4C44-BBF0-62768E7ACD56}" type="presParOf" srcId="{5FE3BE9D-A4E5-4E7D-A562-BE44B23B4BE2}" destId="{65397841-2DE9-41F3-9A31-D30AEB38852D}" srcOrd="4" destOrd="0" presId="urn:microsoft.com/office/officeart/2005/8/layout/process2"/>
    <dgm:cxn modelId="{A6255C2B-1421-46FF-8FC0-23A501B78E0B}" type="presParOf" srcId="{5FE3BE9D-A4E5-4E7D-A562-BE44B23B4BE2}" destId="{EBB36E8D-F015-4821-B82C-31EC78B35F1B}" srcOrd="5" destOrd="0" presId="urn:microsoft.com/office/officeart/2005/8/layout/process2"/>
    <dgm:cxn modelId="{849511FC-214B-4128-8AE7-F8BA04A6EC71}" type="presParOf" srcId="{EBB36E8D-F015-4821-B82C-31EC78B35F1B}" destId="{83BEB39D-4967-4EF0-9EBE-478C79A3350C}" srcOrd="0" destOrd="0" presId="urn:microsoft.com/office/officeart/2005/8/layout/process2"/>
    <dgm:cxn modelId="{0698F6C4-3E49-44C8-9FA1-A1A0FE1DD375}" type="presParOf" srcId="{5FE3BE9D-A4E5-4E7D-A562-BE44B23B4BE2}" destId="{9F0B52B2-8329-4235-8B3A-05947696D4D4}" srcOrd="6" destOrd="0" presId="urn:microsoft.com/office/officeart/2005/8/layout/process2"/>
    <dgm:cxn modelId="{E0259744-36EB-44E6-B80F-C4A68C70EFF9}" type="presParOf" srcId="{5FE3BE9D-A4E5-4E7D-A562-BE44B23B4BE2}" destId="{EEB2333D-5A86-47A1-BC7A-CFE0F8B929D2}" srcOrd="7" destOrd="0" presId="urn:microsoft.com/office/officeart/2005/8/layout/process2"/>
    <dgm:cxn modelId="{CEC1929E-8E4C-4F9F-99A3-6CC873C8571D}" type="presParOf" srcId="{EEB2333D-5A86-47A1-BC7A-CFE0F8B929D2}" destId="{2E21D6A7-4FB8-4BB8-81D2-525ABC1E89B5}" srcOrd="0" destOrd="0" presId="urn:microsoft.com/office/officeart/2005/8/layout/process2"/>
    <dgm:cxn modelId="{234BBC58-56FC-4F46-9900-4AEA99EF29A3}" type="presParOf" srcId="{5FE3BE9D-A4E5-4E7D-A562-BE44B23B4BE2}" destId="{B4A1DCAE-C7DF-4027-8DE3-AFF6B25B79BA}" srcOrd="8" destOrd="0" presId="urn:microsoft.com/office/officeart/2005/8/layout/process2"/>
    <dgm:cxn modelId="{1986E0F0-37DE-4D56-9642-6F53B0C3C1FD}" type="presParOf" srcId="{5FE3BE9D-A4E5-4E7D-A562-BE44B23B4BE2}" destId="{538AC236-98AE-4E94-9CE5-3C8A1813DC13}" srcOrd="9" destOrd="0" presId="urn:microsoft.com/office/officeart/2005/8/layout/process2"/>
    <dgm:cxn modelId="{5365FCEE-FBB8-4B06-8B1F-ADBE2E77AA9E}" type="presParOf" srcId="{538AC236-98AE-4E94-9CE5-3C8A1813DC13}" destId="{34EB2C17-F50B-4141-9D25-152C9E6723EF}" srcOrd="0" destOrd="0" presId="urn:microsoft.com/office/officeart/2005/8/layout/process2"/>
    <dgm:cxn modelId="{66E55903-C646-402E-A65B-2FE23C1D54FD}" type="presParOf" srcId="{5FE3BE9D-A4E5-4E7D-A562-BE44B23B4BE2}" destId="{AEC8BC08-F38F-49C9-870E-CB935DC5DD10}" srcOrd="10" destOrd="0" presId="urn:microsoft.com/office/officeart/2005/8/layout/process2"/>
    <dgm:cxn modelId="{7A8B0F2F-49F1-4EB8-90EF-2E8779E6A23F}" type="presParOf" srcId="{5FE3BE9D-A4E5-4E7D-A562-BE44B23B4BE2}" destId="{F6F0A8F0-FD9E-4595-9219-3C35C5ADC390}" srcOrd="11" destOrd="0" presId="urn:microsoft.com/office/officeart/2005/8/layout/process2"/>
    <dgm:cxn modelId="{F71173D2-261A-4AAE-8383-56D61733FC49}" type="presParOf" srcId="{F6F0A8F0-FD9E-4595-9219-3C35C5ADC390}" destId="{EC9FB867-F1EB-4186-B919-E8D1BA01287B}" srcOrd="0" destOrd="0" presId="urn:microsoft.com/office/officeart/2005/8/layout/process2"/>
    <dgm:cxn modelId="{30E657CA-6347-4116-979D-6C250A21B1F6}" type="presParOf" srcId="{5FE3BE9D-A4E5-4E7D-A562-BE44B23B4BE2}" destId="{94F85C33-4ED1-474D-8F71-04F40717BB3C}" srcOrd="12" destOrd="0" presId="urn:microsoft.com/office/officeart/2005/8/layout/process2"/>
    <dgm:cxn modelId="{558DBF1B-04BF-454E-8EED-A4A463FAD741}" type="presParOf" srcId="{5FE3BE9D-A4E5-4E7D-A562-BE44B23B4BE2}" destId="{BA6732B4-26B4-4EA8-A82E-1A3096A34908}" srcOrd="13" destOrd="0" presId="urn:microsoft.com/office/officeart/2005/8/layout/process2"/>
    <dgm:cxn modelId="{9F99B64B-CDEC-42BD-B3C7-200A084F55EF}" type="presParOf" srcId="{BA6732B4-26B4-4EA8-A82E-1A3096A34908}" destId="{332D51F4-D770-4EFC-AFD4-62E589805DB9}" srcOrd="0" destOrd="0" presId="urn:microsoft.com/office/officeart/2005/8/layout/process2"/>
    <dgm:cxn modelId="{4535DBFF-3C9E-4CE3-A491-AF3ABB3B9537}" type="presParOf" srcId="{5FE3BE9D-A4E5-4E7D-A562-BE44B23B4BE2}" destId="{CFF72423-B6C0-498C-BBEE-4E68C4C94F53}" srcOrd="14" destOrd="0" presId="urn:microsoft.com/office/officeart/2005/8/layout/process2"/>
    <dgm:cxn modelId="{4CA23DBB-1C56-44AF-8214-2D7645479601}" type="presParOf" srcId="{5FE3BE9D-A4E5-4E7D-A562-BE44B23B4BE2}" destId="{66F8C4E1-D6FE-4E46-83DC-B8CF72CCF771}" srcOrd="15" destOrd="0" presId="urn:microsoft.com/office/officeart/2005/8/layout/process2"/>
    <dgm:cxn modelId="{2D0362A1-4CF6-46EC-B339-947C166BC110}" type="presParOf" srcId="{66F8C4E1-D6FE-4E46-83DC-B8CF72CCF771}" destId="{6E9BD28A-4386-45EA-BC9F-1CA5FBB47F84}" srcOrd="0" destOrd="0" presId="urn:microsoft.com/office/officeart/2005/8/layout/process2"/>
    <dgm:cxn modelId="{22425969-5B17-41BB-BFFF-D27FED8E6DFD}" type="presParOf" srcId="{5FE3BE9D-A4E5-4E7D-A562-BE44B23B4BE2}" destId="{687A34C1-480D-4D62-A911-9A64D31BDB05}" srcOrd="16" destOrd="0" presId="urn:microsoft.com/office/officeart/2005/8/layout/process2"/>
    <dgm:cxn modelId="{E95D63ED-71B2-408A-BCE3-74C6F4D6EB56}" type="presParOf" srcId="{5FE3BE9D-A4E5-4E7D-A562-BE44B23B4BE2}" destId="{3B6DB19F-478D-4390-97ED-A8A6B9D11002}" srcOrd="17" destOrd="0" presId="urn:microsoft.com/office/officeart/2005/8/layout/process2"/>
    <dgm:cxn modelId="{9DACFE0A-7431-41B3-BFF2-BD22D768EEED}" type="presParOf" srcId="{3B6DB19F-478D-4390-97ED-A8A6B9D11002}" destId="{D1F08D57-9366-4D1E-8C98-AC580858AF06}" srcOrd="0" destOrd="0" presId="urn:microsoft.com/office/officeart/2005/8/layout/process2"/>
    <dgm:cxn modelId="{7E8EAB14-BC9D-48CD-94A2-02BCC7F9518E}" type="presParOf" srcId="{5FE3BE9D-A4E5-4E7D-A562-BE44B23B4BE2}" destId="{04305358-B55D-4126-8834-A45FF50E1EC1}" srcOrd="18" destOrd="0" presId="urn:microsoft.com/office/officeart/2005/8/layout/process2"/>
    <dgm:cxn modelId="{EA661700-5E0A-4B71-9BF6-8EAF3BDB9CFB}" type="presParOf" srcId="{5FE3BE9D-A4E5-4E7D-A562-BE44B23B4BE2}" destId="{952F3B1B-BF90-4759-BBDC-F6BC7178A0A6}" srcOrd="19" destOrd="0" presId="urn:microsoft.com/office/officeart/2005/8/layout/process2"/>
    <dgm:cxn modelId="{08A9829F-1513-42D0-AA16-81242386ABA9}" type="presParOf" srcId="{952F3B1B-BF90-4759-BBDC-F6BC7178A0A6}" destId="{23140C15-66BA-4DD5-A6A0-C2D82B67C84B}" srcOrd="0" destOrd="0" presId="urn:microsoft.com/office/officeart/2005/8/layout/process2"/>
    <dgm:cxn modelId="{C8F87B28-D9BE-4219-80DA-5A0F7131BE27}" type="presParOf" srcId="{5FE3BE9D-A4E5-4E7D-A562-BE44B23B4BE2}" destId="{CB636CB5-DB0C-47BC-B569-5A495ABF530C}" srcOrd="20" destOrd="0" presId="urn:microsoft.com/office/officeart/2005/8/layout/process2"/>
    <dgm:cxn modelId="{52E591FE-C126-4ADE-B8B6-1C8A6C363019}" type="presParOf" srcId="{5FE3BE9D-A4E5-4E7D-A562-BE44B23B4BE2}" destId="{60193E53-FECD-4763-A103-C598E7060A5B}" srcOrd="21" destOrd="0" presId="urn:microsoft.com/office/officeart/2005/8/layout/process2"/>
    <dgm:cxn modelId="{FD5E7979-33BC-4B98-AC39-FCAC33919A17}" type="presParOf" srcId="{60193E53-FECD-4763-A103-C598E7060A5B}" destId="{F17CD7D0-111B-4C73-A788-6A1EF76FBB19}" srcOrd="0" destOrd="0" presId="urn:microsoft.com/office/officeart/2005/8/layout/process2"/>
    <dgm:cxn modelId="{90921FE9-9E38-4EF7-AE7E-D44AC333EE8E}" type="presParOf" srcId="{5FE3BE9D-A4E5-4E7D-A562-BE44B23B4BE2}" destId="{0FDE81F5-7D8F-484A-9BA4-E6A1ADF28807}" srcOrd="22" destOrd="0" presId="urn:microsoft.com/office/officeart/2005/8/layout/process2"/>
    <dgm:cxn modelId="{11ABD329-202F-4D0D-A607-479F9982B56F}" type="presParOf" srcId="{5FE3BE9D-A4E5-4E7D-A562-BE44B23B4BE2}" destId="{664B3620-26B0-442B-B958-FD96570CD5E7}" srcOrd="23" destOrd="0" presId="urn:microsoft.com/office/officeart/2005/8/layout/process2"/>
    <dgm:cxn modelId="{5CCBCCCF-48AC-42BA-A772-D3B28F30AF93}" type="presParOf" srcId="{664B3620-26B0-442B-B958-FD96570CD5E7}" destId="{A5FAD4A5-CCC9-4CB7-AACC-21458B66BDDA}" srcOrd="0" destOrd="0" presId="urn:microsoft.com/office/officeart/2005/8/layout/process2"/>
    <dgm:cxn modelId="{6C304607-909E-49FC-B530-DD3B27F2CB02}" type="presParOf" srcId="{5FE3BE9D-A4E5-4E7D-A562-BE44B23B4BE2}" destId="{E6471E03-B05D-4E7A-93E4-844F77990A41}" srcOrd="24" destOrd="0" presId="urn:microsoft.com/office/officeart/2005/8/layout/process2"/>
    <dgm:cxn modelId="{E90C4E83-8DCE-4E3D-9164-0D98F30BBC10}" type="presParOf" srcId="{5FE3BE9D-A4E5-4E7D-A562-BE44B23B4BE2}" destId="{6046575C-16E2-48FA-9DB3-109BF235CB58}" srcOrd="25" destOrd="0" presId="urn:microsoft.com/office/officeart/2005/8/layout/process2"/>
    <dgm:cxn modelId="{EF7099EA-5C38-4D80-AAA3-71BE3E2564F8}" type="presParOf" srcId="{6046575C-16E2-48FA-9DB3-109BF235CB58}" destId="{626A422C-D0FE-4187-8512-AC567A481C9A}" srcOrd="0" destOrd="0" presId="urn:microsoft.com/office/officeart/2005/8/layout/process2"/>
    <dgm:cxn modelId="{30F93B08-4645-4430-BA1F-7FA6F1DEFC4C}" type="presParOf" srcId="{5FE3BE9D-A4E5-4E7D-A562-BE44B23B4BE2}" destId="{B7D23200-BF2A-4684-9ADE-992A9EE3266F}" srcOrd="2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3914EC-BD96-4497-8F51-435D423CC186}">
      <dsp:nvSpPr>
        <dsp:cNvPr id="0" name=""/>
        <dsp:cNvSpPr/>
      </dsp:nvSpPr>
      <dsp:spPr>
        <a:xfrm>
          <a:off x="1566272" y="1221"/>
          <a:ext cx="2591345" cy="4338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600" kern="1200"/>
            <a:t>Raw Healthcare Data</a:t>
          </a:r>
          <a:endParaRPr lang="en-US" sz="1600" kern="1200"/>
        </a:p>
      </dsp:txBody>
      <dsp:txXfrm>
        <a:off x="1578979" y="13928"/>
        <a:ext cx="2565931" cy="408435"/>
      </dsp:txXfrm>
    </dsp:sp>
    <dsp:sp modelId="{DC68867E-A138-4352-B0F8-AA38E6C75076}">
      <dsp:nvSpPr>
        <dsp:cNvPr id="0" name=""/>
        <dsp:cNvSpPr/>
      </dsp:nvSpPr>
      <dsp:spPr>
        <a:xfrm rot="5400000">
          <a:off x="2780598" y="445917"/>
          <a:ext cx="162693" cy="19523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 rot="-5400000">
        <a:off x="2803375" y="462186"/>
        <a:ext cx="117140" cy="113885"/>
      </dsp:txXfrm>
    </dsp:sp>
    <dsp:sp modelId="{3D2E2318-2B85-488C-BC3E-DBFEDE3C9E6F}">
      <dsp:nvSpPr>
        <dsp:cNvPr id="0" name=""/>
        <dsp:cNvSpPr/>
      </dsp:nvSpPr>
      <dsp:spPr>
        <a:xfrm>
          <a:off x="1576050" y="651995"/>
          <a:ext cx="2571788" cy="4338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DataProfiling</a:t>
          </a:r>
        </a:p>
      </dsp:txBody>
      <dsp:txXfrm>
        <a:off x="1588757" y="664702"/>
        <a:ext cx="2546374" cy="408435"/>
      </dsp:txXfrm>
    </dsp:sp>
    <dsp:sp modelId="{B82E133B-5655-4281-BB39-96D4491EEDD5}">
      <dsp:nvSpPr>
        <dsp:cNvPr id="0" name=""/>
        <dsp:cNvSpPr/>
      </dsp:nvSpPr>
      <dsp:spPr>
        <a:xfrm rot="5400000">
          <a:off x="2780598" y="1096690"/>
          <a:ext cx="162693" cy="19523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 rot="-5400000">
        <a:off x="2803375" y="1112959"/>
        <a:ext cx="117140" cy="113885"/>
      </dsp:txXfrm>
    </dsp:sp>
    <dsp:sp modelId="{65397841-2DE9-41F3-9A31-D30AEB38852D}">
      <dsp:nvSpPr>
        <dsp:cNvPr id="0" name=""/>
        <dsp:cNvSpPr/>
      </dsp:nvSpPr>
      <dsp:spPr>
        <a:xfrm>
          <a:off x="1527164" y="1302769"/>
          <a:ext cx="2669560" cy="4338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Data Cleaning &amp; Validation</a:t>
          </a:r>
        </a:p>
      </dsp:txBody>
      <dsp:txXfrm>
        <a:off x="1539871" y="1315476"/>
        <a:ext cx="2644146" cy="408435"/>
      </dsp:txXfrm>
    </dsp:sp>
    <dsp:sp modelId="{EBB36E8D-F015-4821-B82C-31EC78B35F1B}">
      <dsp:nvSpPr>
        <dsp:cNvPr id="0" name=""/>
        <dsp:cNvSpPr/>
      </dsp:nvSpPr>
      <dsp:spPr>
        <a:xfrm rot="5400000">
          <a:off x="2780598" y="1747464"/>
          <a:ext cx="162693" cy="19523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 rot="-5400000">
        <a:off x="2803375" y="1763733"/>
        <a:ext cx="117140" cy="113885"/>
      </dsp:txXfrm>
    </dsp:sp>
    <dsp:sp modelId="{9F0B52B2-8329-4235-8B3A-05947696D4D4}">
      <dsp:nvSpPr>
        <dsp:cNvPr id="0" name=""/>
        <dsp:cNvSpPr/>
      </dsp:nvSpPr>
      <dsp:spPr>
        <a:xfrm>
          <a:off x="1497836" y="1953542"/>
          <a:ext cx="2728216" cy="4338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Indicator Classification</a:t>
          </a:r>
        </a:p>
      </dsp:txBody>
      <dsp:txXfrm>
        <a:off x="1510543" y="1966249"/>
        <a:ext cx="2702802" cy="408435"/>
      </dsp:txXfrm>
    </dsp:sp>
    <dsp:sp modelId="{EEB2333D-5A86-47A1-BC7A-CFE0F8B929D2}">
      <dsp:nvSpPr>
        <dsp:cNvPr id="0" name=""/>
        <dsp:cNvSpPr/>
      </dsp:nvSpPr>
      <dsp:spPr>
        <a:xfrm rot="5400000">
          <a:off x="2780598" y="2398238"/>
          <a:ext cx="162693" cy="19523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 rot="-5400000">
        <a:off x="2803375" y="2414507"/>
        <a:ext cx="117140" cy="113885"/>
      </dsp:txXfrm>
    </dsp:sp>
    <dsp:sp modelId="{B4A1DCAE-C7DF-4027-8DE3-AFF6B25B79BA}">
      <dsp:nvSpPr>
        <dsp:cNvPr id="0" name=""/>
        <dsp:cNvSpPr/>
      </dsp:nvSpPr>
      <dsp:spPr>
        <a:xfrm>
          <a:off x="1497836" y="2604316"/>
          <a:ext cx="2728216" cy="4338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KPI Framework</a:t>
          </a:r>
        </a:p>
      </dsp:txBody>
      <dsp:txXfrm>
        <a:off x="1510543" y="2617023"/>
        <a:ext cx="2702802" cy="408435"/>
      </dsp:txXfrm>
    </dsp:sp>
    <dsp:sp modelId="{538AC236-98AE-4E94-9CE5-3C8A1813DC13}">
      <dsp:nvSpPr>
        <dsp:cNvPr id="0" name=""/>
        <dsp:cNvSpPr/>
      </dsp:nvSpPr>
      <dsp:spPr>
        <a:xfrm rot="5400000">
          <a:off x="2780598" y="3049011"/>
          <a:ext cx="162693" cy="19523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 rot="-5400000">
        <a:off x="2803375" y="3065280"/>
        <a:ext cx="117140" cy="113885"/>
      </dsp:txXfrm>
    </dsp:sp>
    <dsp:sp modelId="{AEC8BC08-F38F-49C9-870E-CB935DC5DD10}">
      <dsp:nvSpPr>
        <dsp:cNvPr id="0" name=""/>
        <dsp:cNvSpPr/>
      </dsp:nvSpPr>
      <dsp:spPr>
        <a:xfrm>
          <a:off x="1497836" y="3255089"/>
          <a:ext cx="2728216" cy="4338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Exploratory Data Analysis</a:t>
          </a:r>
        </a:p>
      </dsp:txBody>
      <dsp:txXfrm>
        <a:off x="1510543" y="3267796"/>
        <a:ext cx="2702802" cy="408435"/>
      </dsp:txXfrm>
    </dsp:sp>
    <dsp:sp modelId="{F6F0A8F0-FD9E-4595-9219-3C35C5ADC390}">
      <dsp:nvSpPr>
        <dsp:cNvPr id="0" name=""/>
        <dsp:cNvSpPr/>
      </dsp:nvSpPr>
      <dsp:spPr>
        <a:xfrm rot="5400000">
          <a:off x="2780598" y="3699785"/>
          <a:ext cx="162693" cy="19523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 rot="-5400000">
        <a:off x="2803375" y="3716054"/>
        <a:ext cx="117140" cy="113885"/>
      </dsp:txXfrm>
    </dsp:sp>
    <dsp:sp modelId="{94F85C33-4ED1-474D-8F71-04F40717BB3C}">
      <dsp:nvSpPr>
        <dsp:cNvPr id="0" name=""/>
        <dsp:cNvSpPr/>
      </dsp:nvSpPr>
      <dsp:spPr>
        <a:xfrm>
          <a:off x="1468508" y="3905863"/>
          <a:ext cx="2786873" cy="4338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HealthGap Scoring</a:t>
          </a:r>
        </a:p>
      </dsp:txBody>
      <dsp:txXfrm>
        <a:off x="1481215" y="3918570"/>
        <a:ext cx="2761459" cy="408435"/>
      </dsp:txXfrm>
    </dsp:sp>
    <dsp:sp modelId="{BA6732B4-26B4-4EA8-A82E-1A3096A34908}">
      <dsp:nvSpPr>
        <dsp:cNvPr id="0" name=""/>
        <dsp:cNvSpPr/>
      </dsp:nvSpPr>
      <dsp:spPr>
        <a:xfrm rot="5400000">
          <a:off x="2780598" y="4350558"/>
          <a:ext cx="162693" cy="19523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 rot="-5400000">
        <a:off x="2803375" y="4366827"/>
        <a:ext cx="117140" cy="113885"/>
      </dsp:txXfrm>
    </dsp:sp>
    <dsp:sp modelId="{CFF72423-B6C0-498C-BBEE-4E68C4C94F53}">
      <dsp:nvSpPr>
        <dsp:cNvPr id="0" name=""/>
        <dsp:cNvSpPr/>
      </dsp:nvSpPr>
      <dsp:spPr>
        <a:xfrm>
          <a:off x="1468508" y="4556637"/>
          <a:ext cx="2786873" cy="4338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District Ranking</a:t>
          </a:r>
        </a:p>
      </dsp:txBody>
      <dsp:txXfrm>
        <a:off x="1481215" y="4569344"/>
        <a:ext cx="2761459" cy="408435"/>
      </dsp:txXfrm>
    </dsp:sp>
    <dsp:sp modelId="{66F8C4E1-D6FE-4E46-83DC-B8CF72CCF771}">
      <dsp:nvSpPr>
        <dsp:cNvPr id="0" name=""/>
        <dsp:cNvSpPr/>
      </dsp:nvSpPr>
      <dsp:spPr>
        <a:xfrm rot="5400000">
          <a:off x="2780598" y="5001332"/>
          <a:ext cx="162693" cy="19523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 rot="-5400000">
        <a:off x="2803375" y="5017601"/>
        <a:ext cx="117140" cy="113885"/>
      </dsp:txXfrm>
    </dsp:sp>
    <dsp:sp modelId="{687A34C1-480D-4D62-A911-9A64D31BDB05}">
      <dsp:nvSpPr>
        <dsp:cNvPr id="0" name=""/>
        <dsp:cNvSpPr/>
      </dsp:nvSpPr>
      <dsp:spPr>
        <a:xfrm>
          <a:off x="1488057" y="5207410"/>
          <a:ext cx="2747774" cy="4338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State Benchmarking</a:t>
          </a:r>
        </a:p>
      </dsp:txBody>
      <dsp:txXfrm>
        <a:off x="1500764" y="5220117"/>
        <a:ext cx="2722360" cy="408435"/>
      </dsp:txXfrm>
    </dsp:sp>
    <dsp:sp modelId="{3B6DB19F-478D-4390-97ED-A8A6B9D11002}">
      <dsp:nvSpPr>
        <dsp:cNvPr id="0" name=""/>
        <dsp:cNvSpPr/>
      </dsp:nvSpPr>
      <dsp:spPr>
        <a:xfrm rot="5400000">
          <a:off x="2780598" y="5652106"/>
          <a:ext cx="162693" cy="19523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 rot="-5400000">
        <a:off x="2803375" y="5668375"/>
        <a:ext cx="117140" cy="113885"/>
      </dsp:txXfrm>
    </dsp:sp>
    <dsp:sp modelId="{04305358-B55D-4126-8834-A45FF50E1EC1}">
      <dsp:nvSpPr>
        <dsp:cNvPr id="0" name=""/>
        <dsp:cNvSpPr/>
      </dsp:nvSpPr>
      <dsp:spPr>
        <a:xfrm>
          <a:off x="1488057" y="5858184"/>
          <a:ext cx="2747774" cy="4338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Power Query Transformation</a:t>
          </a:r>
        </a:p>
      </dsp:txBody>
      <dsp:txXfrm>
        <a:off x="1500764" y="5870891"/>
        <a:ext cx="2722360" cy="408435"/>
      </dsp:txXfrm>
    </dsp:sp>
    <dsp:sp modelId="{952F3B1B-BF90-4759-BBDC-F6BC7178A0A6}">
      <dsp:nvSpPr>
        <dsp:cNvPr id="0" name=""/>
        <dsp:cNvSpPr/>
      </dsp:nvSpPr>
      <dsp:spPr>
        <a:xfrm rot="5400000">
          <a:off x="2780598" y="6302879"/>
          <a:ext cx="162693" cy="19523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 rot="-5400000">
        <a:off x="2803375" y="6319148"/>
        <a:ext cx="117140" cy="113885"/>
      </dsp:txXfrm>
    </dsp:sp>
    <dsp:sp modelId="{CB636CB5-DB0C-47BC-B569-5A495ABF530C}">
      <dsp:nvSpPr>
        <dsp:cNvPr id="0" name=""/>
        <dsp:cNvSpPr/>
      </dsp:nvSpPr>
      <dsp:spPr>
        <a:xfrm>
          <a:off x="1507615" y="6508958"/>
          <a:ext cx="2708658" cy="4338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Power BI Data Model</a:t>
          </a:r>
        </a:p>
      </dsp:txBody>
      <dsp:txXfrm>
        <a:off x="1520322" y="6521665"/>
        <a:ext cx="2683244" cy="408435"/>
      </dsp:txXfrm>
    </dsp:sp>
    <dsp:sp modelId="{60193E53-FECD-4763-A103-C598E7060A5B}">
      <dsp:nvSpPr>
        <dsp:cNvPr id="0" name=""/>
        <dsp:cNvSpPr/>
      </dsp:nvSpPr>
      <dsp:spPr>
        <a:xfrm rot="5400000">
          <a:off x="2780598" y="6953653"/>
          <a:ext cx="162693" cy="19523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 rot="-5400000">
        <a:off x="2803375" y="6969922"/>
        <a:ext cx="117140" cy="113885"/>
      </dsp:txXfrm>
    </dsp:sp>
    <dsp:sp modelId="{0FDE81F5-7D8F-484A-9BA4-E6A1ADF28807}">
      <dsp:nvSpPr>
        <dsp:cNvPr id="0" name=""/>
        <dsp:cNvSpPr/>
      </dsp:nvSpPr>
      <dsp:spPr>
        <a:xfrm>
          <a:off x="1527164" y="7159731"/>
          <a:ext cx="2669560" cy="4338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Interactive Dashboard</a:t>
          </a:r>
        </a:p>
      </dsp:txBody>
      <dsp:txXfrm>
        <a:off x="1539871" y="7172438"/>
        <a:ext cx="2644146" cy="408435"/>
      </dsp:txXfrm>
    </dsp:sp>
    <dsp:sp modelId="{664B3620-26B0-442B-B958-FD96570CD5E7}">
      <dsp:nvSpPr>
        <dsp:cNvPr id="0" name=""/>
        <dsp:cNvSpPr/>
      </dsp:nvSpPr>
      <dsp:spPr>
        <a:xfrm rot="5400000">
          <a:off x="2780598" y="7604427"/>
          <a:ext cx="162693" cy="19523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 rot="-5400000">
        <a:off x="2803375" y="7620696"/>
        <a:ext cx="117140" cy="113885"/>
      </dsp:txXfrm>
    </dsp:sp>
    <dsp:sp modelId="{E6471E03-B05D-4E7A-93E4-844F77990A41}">
      <dsp:nvSpPr>
        <dsp:cNvPr id="0" name=""/>
        <dsp:cNvSpPr/>
      </dsp:nvSpPr>
      <dsp:spPr>
        <a:xfrm>
          <a:off x="1536943" y="7810505"/>
          <a:ext cx="2650002" cy="4338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Business Insights</a:t>
          </a:r>
        </a:p>
      </dsp:txBody>
      <dsp:txXfrm>
        <a:off x="1549650" y="7823212"/>
        <a:ext cx="2624588" cy="408435"/>
      </dsp:txXfrm>
    </dsp:sp>
    <dsp:sp modelId="{6046575C-16E2-48FA-9DB3-109BF235CB58}">
      <dsp:nvSpPr>
        <dsp:cNvPr id="0" name=""/>
        <dsp:cNvSpPr/>
      </dsp:nvSpPr>
      <dsp:spPr>
        <a:xfrm rot="5400000">
          <a:off x="2780598" y="8255200"/>
          <a:ext cx="162693" cy="19523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 rot="-5400000">
        <a:off x="2803375" y="8271469"/>
        <a:ext cx="117140" cy="113885"/>
      </dsp:txXfrm>
    </dsp:sp>
    <dsp:sp modelId="{B7D23200-BF2A-4684-9ADE-992A9EE3266F}">
      <dsp:nvSpPr>
        <dsp:cNvPr id="0" name=""/>
        <dsp:cNvSpPr/>
      </dsp:nvSpPr>
      <dsp:spPr>
        <a:xfrm>
          <a:off x="1566272" y="8461279"/>
          <a:ext cx="2591345" cy="4338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Final Documentation</a:t>
          </a:r>
        </a:p>
      </dsp:txBody>
      <dsp:txXfrm>
        <a:off x="1578979" y="8473986"/>
        <a:ext cx="2565931" cy="4084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32F34-C57E-416A-AE03-AAACF37AF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18</Pages>
  <Words>3118</Words>
  <Characters>17778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HealthGap India</vt:lpstr>
    </vt:vector>
  </TitlesOfParts>
  <Company/>
  <LinksUpToDate>false</LinksUpToDate>
  <CharactersWithSpaces>20855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HealthGap India</dc:title>
  <dc:subject>District Healthcare &amp; Health Risk Analysis</dc:subject>
  <dc:creator/>
  <cp:keywords/>
  <dc:description/>
  <cp:lastModifiedBy>VAMSHI</cp:lastModifiedBy>
  <cp:revision>37</cp:revision>
  <dcterms:created xsi:type="dcterms:W3CDTF">2026-09-02T00:07:00Z</dcterms:created>
  <dcterms:modified xsi:type="dcterms:W3CDTF">2026-09-04T22:44:00Z</dcterms:modified>
</cp:coreProperties>
</file>