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EduGenie – Part 4 of 8</w:t>
      </w:r>
    </w:p>
    <w:p/>
    <w:p>
      <w:pPr>
        <w:pStyle w:val="Normal"/>
      </w:pPr>
      <w:r>
        <w:rPr>
          <w:rFonts w:ascii="Cambria" w:hAnsi="Cambria"/>
          <w:b/>
        </w:rPr>
        <w:t>MILESTONE 1: Model Selection and Architecture</w:t>
      </w:r>
    </w:p>
    <w:p>
      <w:pPr>
        <w:pStyle w:val="Normal"/>
      </w:pPr>
      <w:r>
        <w:rPr>
          <w:rFonts w:ascii="Cambria" w:hAnsi="Cambria"/>
          <w:b/>
        </w:rPr>
        <w:t>Activity 1.1</w:t>
      </w:r>
      <w:r>
        <w:rPr>
          <w:rFonts w:ascii="Cambria" w:hAnsi="Cambria"/>
        </w:rPr>
        <w:t>: Select AI Models</w:t>
      </w:r>
    </w:p>
    <w:p>
      <w:pPr>
        <w:pStyle w:val="Normal"/>
      </w:pPr>
      <w:r>
        <w:rPr>
          <w:rFonts w:ascii="Cambria" w:hAnsi="Cambria"/>
          <w:b/>
          <w:sz w:val="22"/>
        </w:rPr>
        <w:t>Gemini 1.5 Pro (via API):</w:t>
      </w:r>
      <w:r>
        <w:rPr>
          <w:rFonts w:ascii="Cambria" w:hAnsi="Cambria"/>
          <w:sz w:val="22"/>
        </w:rPr>
        <w:br/>
        <w:t>Used for: Q&amp;A, summarization, quiz generation, learning paths</w:t>
        <w:br/>
        <w:t>Benefits: Advanced reasoning, structured outputs, and cloud inference</w:t>
      </w:r>
    </w:p>
    <w:p>
      <w:pPr>
        <w:pStyle w:val="Normal"/>
      </w:pPr>
      <w:r>
        <w:rPr>
          <w:rFonts w:ascii="Cambria" w:hAnsi="Cambria"/>
          <w:b/>
          <w:sz w:val="22"/>
        </w:rPr>
        <w:t>LaMini-Flan-T5-783M (local):</w:t>
      </w:r>
      <w:r>
        <w:rPr>
          <w:rFonts w:ascii="Cambria" w:hAnsi="Cambria"/>
          <w:sz w:val="22"/>
        </w:rPr>
        <w:br/>
        <w:t>Used for: Concept explanation</w:t>
        <w:br/>
        <w:t>Benefits: Instruction-tuned, lightweight, CPU-compatible</w:t>
      </w:r>
    </w:p>
    <w:p>
      <w:pPr>
        <w:pStyle w:val="Normal"/>
      </w:pPr>
      <w:r>
        <w:rPr>
          <w:rFonts w:ascii="Cambria" w:hAnsi="Cambria"/>
          <w:sz w:val="22"/>
        </w:rPr>
        <w:t>Folder Architecture:</w:t>
      </w:r>
    </w:p>
    <w:p>
      <w:pPr>
        <w:pStyle w:val="Normal"/>
      </w:pPr>
      <w:r>
        <w:rPr/>
      </w:r>
    </w:p>
    <w:p>
      <w:pPr>
        <w:pStyle w:val="Normal"/>
      </w:pPr>
      <w:r>
        <w:rPr>
          <w:rFonts w:ascii="Cambria" w:hAnsi="Cambria"/>
        </w:rPr>
      </w:r>
      <w:r>
        <w:rPr/>
      </w:r>
    </w:p>
    <w:p>
      <w:pPr>
        <w:pStyle w:val="Normal"/>
      </w:pPr>
      <w:r>
        <w:rPr>
          <w:rFonts w:ascii="Cambria" w:hAnsi="Cambria"/>
          <w:b/>
          <w:sz w:val="22"/>
        </w:rPr>
        <w:t>FIG. Showing the Folder Architecture</w:t>
      </w:r>
    </w:p>
    <w:p>
      <w:pPr>
        <w:pStyle w:val="Normal"/>
      </w:pPr>
      <w:r>
        <w:rPr>
          <w:rFonts w:ascii="Cambria" w:hAnsi="Cambria"/>
          <w:b/>
        </w:rPr>
        <w:t>MILESTONE 2: Core Functionalities Development</w:t>
      </w:r>
    </w:p>
    <w:p>
      <w:pPr>
        <w:pStyle w:val="Normal"/>
      </w:pPr>
      <w:r>
        <w:rPr>
          <w:rFonts w:ascii="Cambria" w:hAnsi="Cambria"/>
          <w:b/>
        </w:rPr>
        <w:t xml:space="preserve">Activity 2.1. : </w:t>
      </w:r>
      <w:r>
        <w:rPr>
          <w:rFonts w:ascii="Cambria" w:hAnsi="Cambria"/>
        </w:rPr>
        <w:t>Module Implementation</w:t>
      </w:r>
      <w:r>
        <w:rPr/>
      </w:r>
    </w:p>
    <w:p>
      <w:pPr>
        <w:pStyle w:val="Normal"/>
      </w:pPr>
      <w:r>
        <w:rPr>
          <w:rFonts w:ascii="Cambria" w:hAnsi="Cambria"/>
          <w:sz w:val="22"/>
        </w:rPr>
        <w:t>Explanation Module</w:t>
      </w:r>
    </w:p>
    <w:p>
      <w:pPr>
        <w:pStyle w:val="Normal"/>
      </w:pPr>
      <w:r>
        <w:rPr>
          <w:rFonts w:ascii="Cambria" w:hAnsi="Cambria"/>
          <w:sz w:val="22"/>
        </w:rPr>
        <w:t>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EduGenie to act as a reliable and accessible study companion for foundational learning across subjects.</w:t>
      </w:r>
    </w:p>
    <w:p>
      <w:pPr>
        <w:pStyle w:val="Normal"/>
      </w:pPr>
      <w:r>
        <w:rPr/>
      </w:r>
      <w:r>
        <w:rPr/>
      </w:r>
    </w:p>
    <w:p>
      <w:pPr>
        <w:pStyle w:val="Normal"/>
      </w:pPr>
      <w:r>
        <w:rPr>
          <w:rFonts w:ascii="Cambria" w:hAnsi="Cambria"/>
          <w:b/>
          <w:sz w:val="22"/>
        </w:rPr>
        <w:t>Fig. Explanation module logic</w:t>
      </w:r>
    </w:p>
    <w:p>
      <w:pPr>
        <w:pStyle w:val="Normal"/>
      </w:pPr>
      <w:r>
        <w:rPr>
          <w:rFonts w:ascii="Cambria" w:hAnsi="Cambria"/>
          <w:sz w:val="22"/>
        </w:rPr>
        <w:t>QnA Module</w:t>
      </w:r>
    </w:p>
    <w:p>
      <w:pPr>
        <w:pStyle w:val="Normal"/>
      </w:pPr>
      <w:r>
        <w:rPr>
          <w:rFonts w:ascii="Cambria" w:hAnsi="Cambria"/>
          <w:sz w:val="22"/>
        </w:rPr>
        <w:t>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pPr>
        <w:pStyle w:val="Normal"/>
      </w:pPr>
      <w:r>
        <w:rPr>
          <w:b/>
        </w:rPr>
      </w:r>
      <w:r>
        <w:rPr/>
      </w:r>
    </w:p>
    <w:p>
      <w:pPr>
        <w:pStyle w:val="Normal"/>
      </w:pPr>
      <w:r>
        <w:rPr>
          <w:rFonts w:ascii="Cambria" w:hAnsi="Cambria"/>
          <w:b/>
          <w:sz w:val="22"/>
        </w:rPr>
        <w:t>Fig. Q/A Module</w:t>
      </w:r>
    </w:p>
    <w:p>
      <w:pPr>
        <w:pStyle w:val="Normal"/>
      </w:pPr>
      <w:r>
        <w:rPr>
          <w:rFonts w:ascii="Cambria" w:hAnsi="Cambria"/>
          <w:sz w:val="22"/>
        </w:rPr>
        <w:t>Quiz Module</w:t>
      </w:r>
    </w:p>
    <w:p>
      <w:pPr>
        <w:pStyle w:val="Normal"/>
      </w:pPr>
      <w:r>
        <w:rPr>
          <w:rFonts w:ascii="Cambria" w:hAnsi="Cambria"/>
          <w:sz w:val="22"/>
        </w:rPr>
        <w:t>EduGenie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pPr>
        <w:pStyle w:val="Normal"/>
      </w:pPr>
      <w:r>
        <w:rPr>
          <w:rFonts w:ascii="Cambria" w:hAnsi="Cambria"/>
          <w:sz w:val="22"/>
        </w:rPr>
      </w:r>
      <w:r>
        <w:rPr/>
      </w:r>
    </w:p>
    <w:p>
      <w:pPr>
        <w:pStyle w:val="Normal"/>
      </w:pPr>
      <w:r>
        <w:rPr>
          <w:rFonts w:ascii="Cambria" w:hAnsi="Cambria"/>
          <w:b/>
          <w:sz w:val="22"/>
        </w:rPr>
        <w:t>Fig. Quiz Module Logic</w:t>
      </w:r>
    </w:p>
    <w:p>
      <w:pPr>
        <w:pStyle w:val="Normal"/>
      </w:pPr>
      <w:r>
        <w:rPr>
          <w:rFonts w:ascii="Cambria" w:hAnsi="Cambria"/>
          <w:sz w:val="22"/>
        </w:rPr>
        <w:t>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t>
      </w:r>
    </w:p>
    <w:p>
      <w:pPr>
        <w:pStyle w:val="Normal"/>
      </w:pPr>
      <w:r>
        <w:rPr>
          <w:rFonts w:ascii="Cambria" w:hAnsi="Cambria"/>
          <w:sz w:val="22"/>
        </w:rPr>
        <w:t>Summary Module</w:t>
      </w:r>
    </w:p>
    <w:p>
      <w:pPr>
        <w:pStyle w:val="Normal"/>
      </w:pPr>
      <w:r>
        <w:rPr>
          <w:rFonts w:ascii="Cambria" w:hAnsi="Cambria"/>
          <w:sz w:val="22"/>
        </w:rPr>
        <w:t>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pPr>
        <w:pStyle w:val="Normal"/>
      </w:pPr>
      <w:r>
        <w:rPr>
          <w:rFonts w:ascii="Cambria" w:hAnsi="Cambria"/>
          <w:sz w:val="22"/>
        </w:rPr>
      </w:r>
      <w:r>
        <w:rPr/>
      </w:r>
    </w:p>
    <w:p>
      <w:pPr>
        <w:pStyle w:val="Normal"/>
      </w:pPr>
      <w:r>
        <w:rPr>
          <w:rFonts w:ascii="Cambria" w:hAnsi="Cambria"/>
          <w:b/>
          <w:sz w:val="22"/>
        </w:rPr>
        <w:t>Fig. Summary Module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