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D65" w:rsidRDefault="00AB301E">
      <w:pPr>
        <w:spacing w:after="160"/>
        <w:jc w:val="center"/>
      </w:pPr>
      <w:r>
        <w:rPr>
          <w:rFonts w:ascii="Arial" w:eastAsia="Arial" w:hAnsi="Arial" w:cs="Arial"/>
          <w:b/>
          <w:bCs/>
          <w:color w:val="1F3864"/>
          <w:sz w:val="30"/>
          <w:szCs w:val="30"/>
        </w:rPr>
        <w:t>A Multi-Model Network-Based Investigation of Cholera Transmission Dynamics in Nigeria: Machine Learning, Statistical Causality, and Compartmental Epidemiology</w:t>
      </w:r>
    </w:p>
    <w:p w:rsidR="00C74D65" w:rsidRDefault="00720540">
      <w:pPr>
        <w:spacing w:after="80"/>
        <w:jc w:val="center"/>
      </w:pPr>
      <w:r>
        <w:rPr>
          <w:rFonts w:ascii="Arial" w:eastAsia="Arial" w:hAnsi="Arial" w:cs="Arial"/>
          <w:b/>
          <w:bCs/>
          <w:sz w:val="22"/>
          <w:szCs w:val="22"/>
        </w:rPr>
        <w:t>hhhhhh</w:t>
      </w:r>
      <w:bookmarkStart w:id="0" w:name="_GoBack"/>
      <w:bookmarkEnd w:id="0"/>
    </w:p>
    <w:p w:rsidR="00C74D65" w:rsidRDefault="00AB301E">
      <w:pPr>
        <w:spacing w:after="80"/>
        <w:jc w:val="center"/>
      </w:pPr>
      <w:r>
        <w:rPr>
          <w:i/>
          <w:iCs/>
        </w:rPr>
        <w:t>Department of Computer Science, University of Ibadan, Ibadan, Nigeria</w:t>
      </w:r>
    </w:p>
    <w:p w:rsidR="00C74D65" w:rsidRDefault="00AB301E">
      <w:pPr>
        <w:spacing w:after="200"/>
        <w:jc w:val="center"/>
      </w:pPr>
      <w:r>
        <w:rPr>
          <w:i/>
          <w:iCs/>
        </w:rPr>
        <w:t>Email: k.solomon@ui.edu.ng</w:t>
      </w:r>
    </w:p>
    <w:p w:rsidR="00C74D65" w:rsidRDefault="00AB301E">
      <w:pPr>
        <w:spacing w:after="40"/>
        <w:jc w:val="center"/>
      </w:pPr>
      <w:r>
        <w:rPr>
          <w:b/>
          <w:bCs/>
          <w:sz w:val="19"/>
          <w:szCs w:val="19"/>
        </w:rPr>
        <w:t xml:space="preserve">Abstract — </w:t>
      </w:r>
      <w:r>
        <w:rPr>
          <w:sz w:val="19"/>
          <w:szCs w:val="19"/>
        </w:rPr>
        <w:t xml:space="preserve">Cholera remains a persistent public health challenge in Nigeria, with surveillance records spanning 37 states from 2016 to 2024 documenting over 66,000 suspected cases across 408 records and a 9-year mean annual burden of 7,372 cases. Existing surveillance infrastructure collects outbreak reports but lacks computational tools to identify inter-state transmission pathways. This study presents a multi-model investigation combining machine learning (Random Forest, Gradient Boosting, Neural Network MLP), statistical causality (Granger causality, polynomial regression, seasonal decomposition), and mathematical epidemiology (SIR/SEIR compartmental models) to </w:t>
      </w:r>
      <w:proofErr w:type="spellStart"/>
      <w:r>
        <w:rPr>
          <w:sz w:val="19"/>
          <w:szCs w:val="19"/>
        </w:rPr>
        <w:t>characterise</w:t>
      </w:r>
      <w:proofErr w:type="spellEnd"/>
      <w:r>
        <w:rPr>
          <w:sz w:val="19"/>
          <w:szCs w:val="19"/>
        </w:rPr>
        <w:t xml:space="preserve"> the transmission network structure of cholera in Nigeria. Missing surveillance values (107 nil case entries, 203 nil death entries) were addressed using Multiple Imputation by Chained Equations (MICE) with </w:t>
      </w:r>
      <w:proofErr w:type="spellStart"/>
      <w:r>
        <w:rPr>
          <w:sz w:val="19"/>
          <w:szCs w:val="19"/>
        </w:rPr>
        <w:t>LightGBM</w:t>
      </w:r>
      <w:proofErr w:type="spellEnd"/>
      <w:r>
        <w:rPr>
          <w:sz w:val="19"/>
          <w:szCs w:val="19"/>
        </w:rPr>
        <w:t xml:space="preserve"> as the base learner. Thirteen engineered features including temporal lags, wet-season flags, and state encodings were used to train prediction models; Random Forest achieved R² = 0.624 (RMSE = 201.92) on the test set, outperforming all statistical models by a factor of seven or more. The Nigeria Cholera Intelligence Platform (NCIP) — a separated-architecture web application integrating all three model families with a real-time MICE-retrain pipeline — was developed and validated. When executed on 363 MICE-imputed records with Kano as the target state, the platform produced a 6-month forecast peaking at 53 predicted cases in July 2026 (Moderate risk), detected August as the peak seasonal month (index 1.52), confirmed 2020 and 2022 as trough years, and yielded SIR hub-suppression reduction of 72% under a 50% β-reduction scenario. A four-week response delay generates approximately $337,500 USD in avoidable costs.</w:t>
      </w:r>
    </w:p>
    <w:p w:rsidR="00C74D65" w:rsidRDefault="00AB301E">
      <w:pPr>
        <w:spacing w:after="200"/>
      </w:pPr>
      <w:r>
        <w:rPr>
          <w:b/>
          <w:bCs/>
        </w:rPr>
        <w:t xml:space="preserve">Index Terms — </w:t>
      </w:r>
      <w:r>
        <w:t>Cholera surveillance, Granger causality, machine learning, MICE imputation, network epidemiology, Nigeria, SIR/SEIR models, Random Forest, web application.</w:t>
      </w:r>
    </w:p>
    <w:p w:rsidR="00C74D65" w:rsidRDefault="00AB301E">
      <w:r>
        <w:br w:type="page"/>
      </w:r>
    </w:p>
    <w:p w:rsidR="00C74D65" w:rsidRDefault="00AB301E">
      <w:pPr>
        <w:pStyle w:val="Heading1"/>
        <w:pBdr>
          <w:bottom w:val="single" w:sz="6" w:space="1" w:color="1F3864"/>
        </w:pBdr>
      </w:pPr>
      <w:r>
        <w:lastRenderedPageBreak/>
        <w:t>I. INTRODUCTION</w:t>
      </w:r>
    </w:p>
    <w:p w:rsidR="00C74D65" w:rsidRDefault="00AB301E">
      <w:pPr>
        <w:spacing w:after="120" w:line="276" w:lineRule="auto"/>
        <w:jc w:val="both"/>
      </w:pPr>
      <w:r>
        <w:t xml:space="preserve">Cholera, caused by the bacterium </w:t>
      </w:r>
      <w:r>
        <w:rPr>
          <w:i/>
          <w:iCs/>
        </w:rPr>
        <w:t xml:space="preserve">Vibrio </w:t>
      </w:r>
      <w:proofErr w:type="spellStart"/>
      <w:r>
        <w:rPr>
          <w:i/>
          <w:iCs/>
        </w:rPr>
        <w:t>cholerae</w:t>
      </w:r>
      <w:proofErr w:type="spellEnd"/>
      <w:r>
        <w:t xml:space="preserve">, continues to impose a severe burden on public health systems across sub-Saharan Africa. In Nigeria, the disease has persisted across nine consecutive years (2016–2024), with 408 surveillance records across all 37 states documenting over 66,000 suspected cases and a 9-year mean annual burden of 7,372 cases [1], [2]. Peak epidemic activity occurred in 2018 (approximately 26,700 cases) and 2021 (approximately 19,100 cases), with confirmed trough years in 2020 and 2022. The 2018 outbreak was declared a national emergency, </w:t>
      </w:r>
      <w:proofErr w:type="spellStart"/>
      <w:r>
        <w:t>mobilising</w:t>
      </w:r>
      <w:proofErr w:type="spellEnd"/>
      <w:r>
        <w:t xml:space="preserve"> federal and state-level emergency operations </w:t>
      </w:r>
      <w:proofErr w:type="spellStart"/>
      <w:r>
        <w:t>centres</w:t>
      </w:r>
      <w:proofErr w:type="spellEnd"/>
      <w:r>
        <w:t xml:space="preserve"> and consuming an estimated ₦12 billion in response expenditure [3]. Despite these resources, the epidemic recurred in 2021 with comparable intensity, confirming that current intervention strategies do not disrupt underlying transmission mechanisms.</w:t>
      </w:r>
    </w:p>
    <w:p w:rsidR="00C74D65" w:rsidRDefault="00AB301E">
      <w:pPr>
        <w:spacing w:after="120" w:line="276" w:lineRule="auto"/>
        <w:jc w:val="both"/>
      </w:pPr>
      <w:r>
        <w:t>Nigeria's National Centre for Disease Control (NCDC) operates a weekly surveillance system that collects suspected case counts and deaths by state [4]. This system captures the scale and geographic distribution of outbreaks but has not been coupled to a computational analytical framework capable of answering two fundamental questions: (</w:t>
      </w:r>
      <w:proofErr w:type="spellStart"/>
      <w:r>
        <w:t>i</w:t>
      </w:r>
      <w:proofErr w:type="spellEnd"/>
      <w:r>
        <w:t>) does cholera spread through predictable state-to-state transmission corridors, and (ii) which states are the primary causal drivers of national spread? Without answers to these questions, resources continue to flow to states with the highest case counts rather than to states causally responsible for initiating outbreaks elsewhere.</w:t>
      </w:r>
    </w:p>
    <w:p w:rsidR="00C74D65" w:rsidRDefault="00AB301E">
      <w:pPr>
        <w:spacing w:after="120" w:line="276" w:lineRule="auto"/>
        <w:jc w:val="both"/>
      </w:pPr>
      <w:r>
        <w:t>Existing computational studies of Nigerian cholera have focused on environmental correlates such as rainfall and water access [5], [6], or have applied single-model approaches that cannot simultaneously address prediction, causal inference, and intervention simulation [7]. No prior study has constructed a directed transmission network between Nigerian states, built an operational multi-model public health platform, quantified financial costs of suboptimal targeting, or demonstrated network-based targeting superiority in this context.</w:t>
      </w:r>
    </w:p>
    <w:p w:rsidR="00C74D65" w:rsidRDefault="00AB301E">
      <w:pPr>
        <w:spacing w:after="120" w:line="276" w:lineRule="auto"/>
        <w:jc w:val="both"/>
      </w:pPr>
      <w:r>
        <w:t xml:space="preserve">This study addresses these gaps through three objectives. </w:t>
      </w:r>
      <w:r>
        <w:rPr>
          <w:b/>
          <w:bCs/>
        </w:rPr>
        <w:t>Objective 1:</w:t>
      </w:r>
      <w:r>
        <w:t xml:space="preserve"> develop a MICE generative imputation pipeline and ML prediction system using 13 engineered features capturing temporal dependence, seasonality, and state-specific transmission. </w:t>
      </w:r>
      <w:r>
        <w:rPr>
          <w:b/>
          <w:bCs/>
        </w:rPr>
        <w:t>Objective 2:</w:t>
      </w:r>
      <w:r>
        <w:t xml:space="preserve"> apply Granger causality and cross-correlation to construct a directed transmission network identifying which states causally precede outbreaks elsewhere, with spread-speed quantification. </w:t>
      </w:r>
      <w:r>
        <w:rPr>
          <w:b/>
          <w:bCs/>
        </w:rPr>
        <w:t>Objective 3:</w:t>
      </w:r>
      <w:r>
        <w:t xml:space="preserve"> </w:t>
      </w:r>
      <w:proofErr w:type="spellStart"/>
      <w:r>
        <w:t>operationalise</w:t>
      </w:r>
      <w:proofErr w:type="spellEnd"/>
      <w:r>
        <w:t xml:space="preserve"> all findings into the Nigeria Cholera Intelligence Platform (NCIP) — a fully deployed, separated-architecture web application that has been validated on 363 MICE-imputed records and demonstrated live across all three model families.</w:t>
      </w:r>
    </w:p>
    <w:p w:rsidR="00C74D65" w:rsidRDefault="00AB301E">
      <w:pPr>
        <w:spacing w:after="120" w:line="276" w:lineRule="auto"/>
        <w:jc w:val="both"/>
      </w:pPr>
      <w:r>
        <w:t>This study produces nine key findings:</w:t>
      </w:r>
    </w:p>
    <w:p w:rsidR="00C74D65" w:rsidRDefault="00AB301E">
      <w:pPr>
        <w:pStyle w:val="ListParagraph"/>
        <w:numPr>
          <w:ilvl w:val="0"/>
          <w:numId w:val="2"/>
        </w:numPr>
        <w:spacing w:after="60" w:line="276" w:lineRule="auto"/>
      </w:pPr>
      <w:r>
        <w:t>Nigeria's cholera epidemic history (2016–2024) documents over 66,000 suspected cases across two major epidemic waves (2018: 26,700; 2021: 19,100) with statistically confirmed trough years in 2020 and 2022.</w:t>
      </w:r>
    </w:p>
    <w:p w:rsidR="00C74D65" w:rsidRDefault="00AB301E">
      <w:pPr>
        <w:pStyle w:val="ListParagraph"/>
        <w:numPr>
          <w:ilvl w:val="0"/>
          <w:numId w:val="2"/>
        </w:numPr>
        <w:spacing w:after="60" w:line="276" w:lineRule="auto"/>
      </w:pPr>
      <w:r>
        <w:t>National trough years are identified as statistically confirmed local minima in annual case totals, corresponding to post-peak immunity and intensified WASH campaigns.</w:t>
      </w:r>
    </w:p>
    <w:p w:rsidR="00C74D65" w:rsidRDefault="00AB301E">
      <w:pPr>
        <w:pStyle w:val="ListParagraph"/>
        <w:numPr>
          <w:ilvl w:val="0"/>
          <w:numId w:val="2"/>
        </w:numPr>
        <w:spacing w:after="60" w:line="276" w:lineRule="auto"/>
      </w:pPr>
      <w:r>
        <w:t>A directed cholera transmission network exists between Nigerian states with density substantially exceeding the geographic adjacency null model (&lt;0.08).</w:t>
      </w:r>
    </w:p>
    <w:p w:rsidR="00C74D65" w:rsidRDefault="00AB301E">
      <w:pPr>
        <w:pStyle w:val="ListParagraph"/>
        <w:numPr>
          <w:ilvl w:val="0"/>
          <w:numId w:val="2"/>
        </w:numPr>
        <w:spacing w:after="60" w:line="276" w:lineRule="auto"/>
      </w:pPr>
      <w:r>
        <w:t>Cholera spreads between connected states in approximately seven days on average, defining a critical one-week intervention window.</w:t>
      </w:r>
    </w:p>
    <w:p w:rsidR="00C74D65" w:rsidRDefault="00AB301E">
      <w:pPr>
        <w:pStyle w:val="ListParagraph"/>
        <w:numPr>
          <w:ilvl w:val="0"/>
          <w:numId w:val="2"/>
        </w:numPr>
        <w:spacing w:after="60" w:line="276" w:lineRule="auto"/>
      </w:pPr>
      <w:r>
        <w:t>Granger causality tests identify a ranked hierarchy of causally influential states predicting outbreaks in multiple other states at significant lags.</w:t>
      </w:r>
    </w:p>
    <w:p w:rsidR="00C74D65" w:rsidRDefault="00AB301E">
      <w:pPr>
        <w:pStyle w:val="ListParagraph"/>
        <w:numPr>
          <w:ilvl w:val="0"/>
          <w:numId w:val="2"/>
        </w:numPr>
        <w:spacing w:after="60" w:line="276" w:lineRule="auto"/>
      </w:pPr>
      <w:r>
        <w:t>Targeting the top network hubs with 70% case-reduction prevents substantially more national cases than targeting top burden states.</w:t>
      </w:r>
    </w:p>
    <w:p w:rsidR="00C74D65" w:rsidRDefault="00AB301E">
      <w:pPr>
        <w:pStyle w:val="ListParagraph"/>
        <w:numPr>
          <w:ilvl w:val="0"/>
          <w:numId w:val="2"/>
        </w:numPr>
        <w:spacing w:after="60" w:line="276" w:lineRule="auto"/>
      </w:pPr>
      <w:r>
        <w:t>Network-based targeting is significantly more effective than case-count-based targeting because high-burden states are downstream receivers, not transmission sources.</w:t>
      </w:r>
    </w:p>
    <w:p w:rsidR="00C74D65" w:rsidRDefault="00AB301E">
      <w:pPr>
        <w:pStyle w:val="ListParagraph"/>
        <w:numPr>
          <w:ilvl w:val="0"/>
          <w:numId w:val="2"/>
        </w:numPr>
        <w:spacing w:after="60" w:line="276" w:lineRule="auto"/>
      </w:pPr>
      <w:r>
        <w:t>A four-week response delay generates approximately $337,500 USD (≈₦540 million) in avoidable costs at $12,054 per day of delay.</w:t>
      </w:r>
    </w:p>
    <w:p w:rsidR="00C74D65" w:rsidRDefault="00AB301E">
      <w:pPr>
        <w:pStyle w:val="ListParagraph"/>
        <w:numPr>
          <w:ilvl w:val="0"/>
          <w:numId w:val="2"/>
        </w:numPr>
        <w:spacing w:after="60" w:line="276" w:lineRule="auto"/>
      </w:pPr>
      <w:r>
        <w:t>Cholera in Nigeria is demonstrated to be a network epidemiological problem — transmission follows human movement corridors, not geographic proximity — requiring network-informed policy.</w:t>
      </w:r>
    </w:p>
    <w:p w:rsidR="00C74D65" w:rsidRDefault="00AB301E">
      <w:pPr>
        <w:spacing w:after="120" w:line="276" w:lineRule="auto"/>
        <w:jc w:val="both"/>
      </w:pPr>
      <w:r>
        <w:lastRenderedPageBreak/>
        <w:t xml:space="preserve">The remainder of this paper is structured as follows. Section II describes methodology including dataset preparation, MICE imputation, feature engineering, three model families, and platform architecture. Section III presents results anchored by NCIP live output screenshots. Section IV discusses implications, economic impact, and </w:t>
      </w:r>
      <w:proofErr w:type="spellStart"/>
      <w:r>
        <w:t>generalisability</w:t>
      </w:r>
      <w:proofErr w:type="spellEnd"/>
      <w:r>
        <w:t>. Section V concludes with policy recommendations.</w:t>
      </w:r>
    </w:p>
    <w:p w:rsidR="00C74D65" w:rsidRDefault="00AB301E">
      <w:r>
        <w:br w:type="page"/>
      </w:r>
    </w:p>
    <w:p w:rsidR="00C74D65" w:rsidRDefault="00AB301E">
      <w:pPr>
        <w:pStyle w:val="Heading1"/>
        <w:pBdr>
          <w:bottom w:val="single" w:sz="6" w:space="1" w:color="1F3864"/>
        </w:pBdr>
      </w:pPr>
      <w:r>
        <w:lastRenderedPageBreak/>
        <w:t>II. METHODOLOGY</w:t>
      </w:r>
    </w:p>
    <w:p w:rsidR="00C74D65" w:rsidRDefault="00AB301E">
      <w:pPr>
        <w:pStyle w:val="Heading2"/>
      </w:pPr>
      <w:r>
        <w:t>A. Data Description</w:t>
      </w:r>
    </w:p>
    <w:p w:rsidR="00C74D65" w:rsidRDefault="00AB301E">
      <w:pPr>
        <w:spacing w:after="120" w:line="276" w:lineRule="auto"/>
        <w:jc w:val="both"/>
      </w:pPr>
      <w:r>
        <w:t xml:space="preserve">The primary dataset is the Nigeria cholera surveillance record compiled from NCDC weekly situation reports spanning 2016 to 2024 [2], [4]. The raw dataset contains 408 records with seven columns: state, year, month, Date (day of report within month), suspected cases, Death, and week number, covering all 37 states and FCT-Abuja. Table I </w:t>
      </w:r>
      <w:proofErr w:type="spellStart"/>
      <w:r>
        <w:t>summarises</w:t>
      </w:r>
      <w:proofErr w:type="spellEnd"/>
      <w:r>
        <w:t xml:space="preserve"> dataset characteristics.</w:t>
      </w:r>
    </w:p>
    <w:p w:rsidR="00C74D65" w:rsidRDefault="00AB301E">
      <w:pPr>
        <w:spacing w:after="120" w:line="276" w:lineRule="auto"/>
        <w:jc w:val="both"/>
      </w:pPr>
      <w:r>
        <w:t xml:space="preserve">Data quality challenges are characteristic of operational surveillance in resource-limited settings: 107 nil string values in suspected cases (26.2%); 203 nil values in Death (49.8%); 45 entirely nil 2025 records excluded from training; inconsistent state names (Ibadan → Oyo, Abuja → FCT-Abuja, </w:t>
      </w:r>
      <w:proofErr w:type="spellStart"/>
      <w:r>
        <w:t>crossriver</w:t>
      </w:r>
      <w:proofErr w:type="spellEnd"/>
      <w:r>
        <w:t xml:space="preserve"> → Cross River); month name variants (</w:t>
      </w:r>
      <w:proofErr w:type="spellStart"/>
      <w:r>
        <w:t>feburary</w:t>
      </w:r>
      <w:proofErr w:type="spellEnd"/>
      <w:r>
        <w:t>); and nine records with deaths exceeding cases excluded prior to imputation.</w:t>
      </w:r>
    </w:p>
    <w:p w:rsidR="00C74D65" w:rsidRDefault="00AB301E">
      <w:pPr>
        <w:spacing w:before="160" w:after="80"/>
        <w:jc w:val="center"/>
      </w:pPr>
      <w:r>
        <w:rPr>
          <w:b/>
          <w:bCs/>
        </w:rPr>
        <w:t xml:space="preserve">TABLE </w:t>
      </w:r>
      <w:proofErr w:type="gramStart"/>
      <w:r>
        <w:rPr>
          <w:b/>
          <w:bCs/>
        </w:rPr>
        <w:t xml:space="preserve">I  </w:t>
      </w:r>
      <w:r>
        <w:t>Dataset</w:t>
      </w:r>
      <w:proofErr w:type="gramEnd"/>
      <w:r>
        <w:t xml:space="preserve">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C74D65">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Characteristic</w:t>
            </w:r>
          </w:p>
        </w:tc>
        <w:tc>
          <w:tcPr>
            <w:tcW w:w="27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Value</w:t>
            </w:r>
          </w:p>
        </w:tc>
        <w:tc>
          <w:tcPr>
            <w:tcW w:w="27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Notes</w:t>
            </w:r>
          </w:p>
        </w:tc>
      </w:tr>
      <w:tr w:rsidR="00C74D65">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Total raw records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408</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2016–2024, all states</w:t>
            </w:r>
          </w:p>
        </w:tc>
      </w:tr>
      <w:tr w:rsidR="00C74D65">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States covered</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37 + FCT-Abuja</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All Nigerian states</w:t>
            </w:r>
          </w:p>
        </w:tc>
      </w:tr>
      <w:tr w:rsidR="00C74D65">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9-year mean annual cases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7,372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From clean records</w:t>
            </w:r>
          </w:p>
        </w:tc>
      </w:tr>
      <w:tr w:rsidR="00C74D65">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Nil case values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107 (26.2%)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Imputed via MICE</w:t>
            </w:r>
          </w:p>
        </w:tc>
      </w:tr>
      <w:tr w:rsidR="00C74D65">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Nil death values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203 (49.8%)</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Imputed via MICE</w:t>
            </w:r>
          </w:p>
        </w:tc>
      </w:tr>
      <w:tr w:rsidR="00C74D65">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All-nil 2025 rows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45</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Excluded from training</w:t>
            </w:r>
          </w:p>
        </w:tc>
      </w:tr>
      <w:tr w:rsidR="00C74D65">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Impossible CFR rows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9</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deaths &gt; cases; excluded</w:t>
            </w:r>
          </w:p>
        </w:tc>
      </w:tr>
      <w:tr w:rsidR="00C74D65">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Post-cleaning records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361</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Used for modelling</w:t>
            </w:r>
          </w:p>
        </w:tc>
      </w:tr>
      <w:tr w:rsidR="00C74D65">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Peak year (cases)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2018 (~26,700)</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National emergency declared</w:t>
            </w:r>
          </w:p>
        </w:tc>
      </w:tr>
      <w:tr w:rsidR="00C74D65">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Confirmed trough years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2020, 2022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Confirmed by NCIP statistical model</w:t>
            </w:r>
          </w:p>
        </w:tc>
      </w:tr>
    </w:tbl>
    <w:p w:rsidR="00C74D65" w:rsidRDefault="00C74D65">
      <w:pPr>
        <w:spacing w:after="160"/>
      </w:pPr>
    </w:p>
    <w:p w:rsidR="00C74D65" w:rsidRDefault="00AB301E">
      <w:pPr>
        <w:pStyle w:val="Heading2"/>
      </w:pPr>
      <w:r>
        <w:t>B. Generative Imputation via MICE</w:t>
      </w:r>
    </w:p>
    <w:p w:rsidR="00C74D65" w:rsidRDefault="00AB301E">
      <w:pPr>
        <w:spacing w:after="120" w:line="276" w:lineRule="auto"/>
        <w:jc w:val="both"/>
      </w:pPr>
      <w:r>
        <w:t xml:space="preserve">Simple median imputation fails to preserve state-specific temporal patterns and does not account for inter-variable correlations, introducing systematic bias when </w:t>
      </w:r>
      <w:proofErr w:type="spellStart"/>
      <w:r>
        <w:t>missingness</w:t>
      </w:r>
      <w:proofErr w:type="spellEnd"/>
      <w:r>
        <w:t xml:space="preserve"> correlates with case severity [10]. Multiple Imputation by Chained Equations (MICE) is selected [10], [11]. For each variable </w:t>
      </w:r>
      <w:proofErr w:type="spellStart"/>
      <w:r>
        <w:rPr>
          <w:i/>
          <w:iCs/>
        </w:rPr>
        <w:t>x</w:t>
      </w:r>
      <w:r>
        <w:rPr>
          <w:sz w:val="16"/>
          <w:szCs w:val="16"/>
          <w:vertAlign w:val="superscript"/>
        </w:rPr>
        <w:t>j</w:t>
      </w:r>
      <w:proofErr w:type="spellEnd"/>
      <w:r>
        <w:t xml:space="preserve"> with missing entries, MICE fits the conditional model </w:t>
      </w:r>
      <w:proofErr w:type="gramStart"/>
      <w:r>
        <w:rPr>
          <w:i/>
          <w:iCs/>
        </w:rPr>
        <w:t>P(</w:t>
      </w:r>
      <w:proofErr w:type="spellStart"/>
      <w:proofErr w:type="gramEnd"/>
      <w:r>
        <w:rPr>
          <w:i/>
          <w:iCs/>
        </w:rPr>
        <w:t>x</w:t>
      </w:r>
      <w:r>
        <w:rPr>
          <w:sz w:val="16"/>
          <w:szCs w:val="16"/>
          <w:vertAlign w:val="superscript"/>
        </w:rPr>
        <w:t>j</w:t>
      </w:r>
      <w:proofErr w:type="spellEnd"/>
      <w:r>
        <w:rPr>
          <w:i/>
          <w:iCs/>
        </w:rPr>
        <w:t xml:space="preserve"> | x</w:t>
      </w:r>
      <w:r>
        <w:rPr>
          <w:sz w:val="16"/>
          <w:szCs w:val="16"/>
          <w:vertAlign w:val="superscript"/>
        </w:rPr>
        <w:t>−j</w:t>
      </w:r>
      <w:r>
        <w:rPr>
          <w:i/>
          <w:iCs/>
        </w:rPr>
        <w:t>) = f(x</w:t>
      </w:r>
      <w:r>
        <w:rPr>
          <w:sz w:val="16"/>
          <w:szCs w:val="16"/>
          <w:vertAlign w:val="superscript"/>
        </w:rPr>
        <w:t>−j</w:t>
      </w:r>
      <w:r>
        <w:rPr>
          <w:i/>
          <w:iCs/>
        </w:rPr>
        <w:t xml:space="preserve">; </w:t>
      </w:r>
      <w:proofErr w:type="spellStart"/>
      <w:r>
        <w:rPr>
          <w:i/>
          <w:iCs/>
        </w:rPr>
        <w:t>θ</w:t>
      </w:r>
      <w:r>
        <w:rPr>
          <w:sz w:val="16"/>
          <w:szCs w:val="16"/>
          <w:vertAlign w:val="superscript"/>
        </w:rPr>
        <w:t>j</w:t>
      </w:r>
      <w:proofErr w:type="spellEnd"/>
      <w:r>
        <w:rPr>
          <w:i/>
          <w:iCs/>
        </w:rPr>
        <w:t>)</w:t>
      </w:r>
      <w:r>
        <w:t xml:space="preserve"> iteratively via </w:t>
      </w:r>
      <w:proofErr w:type="spellStart"/>
      <w:r>
        <w:t>LightGBM</w:t>
      </w:r>
      <w:proofErr w:type="spellEnd"/>
      <w:r>
        <w:t xml:space="preserve"> regression. The procedure: (1) </w:t>
      </w:r>
      <w:proofErr w:type="spellStart"/>
      <w:r>
        <w:t>initialise</w:t>
      </w:r>
      <w:proofErr w:type="spellEnd"/>
      <w:r>
        <w:t xml:space="preserve"> missing values with column means; (2) regress </w:t>
      </w:r>
      <w:proofErr w:type="spellStart"/>
      <w:r>
        <w:t>cases_num</w:t>
      </w:r>
      <w:proofErr w:type="spellEnd"/>
      <w:r>
        <w:t xml:space="preserve"> on {</w:t>
      </w:r>
      <w:proofErr w:type="spellStart"/>
      <w:r>
        <w:t>deaths_num</w:t>
      </w:r>
      <w:proofErr w:type="spellEnd"/>
      <w:r>
        <w:t xml:space="preserve">, </w:t>
      </w:r>
      <w:proofErr w:type="spellStart"/>
      <w:r>
        <w:t>month_num</w:t>
      </w:r>
      <w:proofErr w:type="spellEnd"/>
      <w:r>
        <w:t xml:space="preserve">, </w:t>
      </w:r>
      <w:proofErr w:type="spellStart"/>
      <w:r>
        <w:t>week_num</w:t>
      </w:r>
      <w:proofErr w:type="spellEnd"/>
      <w:r>
        <w:t xml:space="preserve">, </w:t>
      </w:r>
      <w:proofErr w:type="spellStart"/>
      <w:r>
        <w:t>year_num</w:t>
      </w:r>
      <w:proofErr w:type="spellEnd"/>
      <w:r>
        <w:t xml:space="preserve">, </w:t>
      </w:r>
      <w:proofErr w:type="spellStart"/>
      <w:r>
        <w:t>state_enc</w:t>
      </w:r>
      <w:proofErr w:type="spellEnd"/>
      <w:r>
        <w:t xml:space="preserve">}; (3) regress </w:t>
      </w:r>
      <w:proofErr w:type="spellStart"/>
      <w:r>
        <w:t>deaths_num</w:t>
      </w:r>
      <w:proofErr w:type="spellEnd"/>
      <w:r>
        <w:t xml:space="preserve"> on all other predictors; (4) repeat for 5 iterations until convergence; (5) enforce post-imputation constraint </w:t>
      </w:r>
      <w:proofErr w:type="spellStart"/>
      <w:r>
        <w:t>deaths_imp</w:t>
      </w:r>
      <w:proofErr w:type="spellEnd"/>
      <w:r>
        <w:t xml:space="preserve"> ≤ </w:t>
      </w:r>
      <w:proofErr w:type="spellStart"/>
      <w:r>
        <w:t>cases_imp</w:t>
      </w:r>
      <w:proofErr w:type="spellEnd"/>
      <w:r>
        <w:t>. Validation against known 2018–2019 ground-truth achieved MAPE of 12.4% for cases versus 31.2% for median imputation on the same holdout.</w:t>
      </w:r>
    </w:p>
    <w:p w:rsidR="00C74D65" w:rsidRDefault="00AB301E">
      <w:pPr>
        <w:spacing w:after="120" w:line="276" w:lineRule="auto"/>
        <w:jc w:val="both"/>
      </w:pPr>
      <w:r>
        <w:t xml:space="preserve">Critically, the NCIP platform re-invokes the MICE module as part of the live pipeline every time a new outbreak record is saved. The API-status bar visible in the NCIP interface (Figs. 1–5) confirms </w:t>
      </w:r>
      <w:r>
        <w:rPr>
          <w:b/>
          <w:bCs/>
        </w:rPr>
        <w:t>363 records</w:t>
      </w:r>
      <w:r>
        <w:t xml:space="preserve"> in the active imputed training set, representing the post-MICE dataset deployed for all three live model runs presented in this paper.</w:t>
      </w:r>
    </w:p>
    <w:p w:rsidR="00C74D65" w:rsidRDefault="00AB301E">
      <w:pPr>
        <w:pStyle w:val="Heading2"/>
      </w:pPr>
      <w:r>
        <w:t>C. Feature Engineering</w:t>
      </w:r>
    </w:p>
    <w:p w:rsidR="00C74D65" w:rsidRDefault="00AB301E">
      <w:pPr>
        <w:spacing w:after="120" w:line="276" w:lineRule="auto"/>
        <w:jc w:val="both"/>
      </w:pPr>
      <w:r>
        <w:t>Thirteen features were engineered from the cleaned and imputed dataset. Table II lists all features with definitions and epidemiological justification. The lag features (cases_lag1, cases_lag2, cases_roll4) encode temporal dependence verified through autocorrelation analysis (</w:t>
      </w:r>
      <w:proofErr w:type="spellStart"/>
      <w:r>
        <w:t>Ljung</w:t>
      </w:r>
      <w:proofErr w:type="spellEnd"/>
      <w:r>
        <w:t xml:space="preserve">-Box Q, p &lt; 0.001 at lags 1–4 weeks). </w:t>
      </w:r>
      <w:proofErr w:type="spellStart"/>
      <w:r>
        <w:t>State_enc</w:t>
      </w:r>
      <w:proofErr w:type="spellEnd"/>
      <w:r>
        <w:t xml:space="preserve"> provides the model with a learnable representation of state-specific base rates, effectively encoding the hypothesis that state identity — shaped by infrastructure, demographics, and movement corridors — predicts case magnitude independently of season and trend.</w:t>
      </w:r>
    </w:p>
    <w:p w:rsidR="00C74D65" w:rsidRDefault="00AB301E">
      <w:pPr>
        <w:spacing w:before="160" w:after="80"/>
        <w:jc w:val="center"/>
      </w:pPr>
      <w:r>
        <w:rPr>
          <w:b/>
          <w:bCs/>
        </w:rPr>
        <w:t xml:space="preserve">TABLE </w:t>
      </w:r>
      <w:proofErr w:type="gramStart"/>
      <w:r>
        <w:rPr>
          <w:b/>
          <w:bCs/>
        </w:rPr>
        <w:t xml:space="preserve">II  </w:t>
      </w:r>
      <w:r>
        <w:t>Engineered</w:t>
      </w:r>
      <w:proofErr w:type="gramEnd"/>
      <w:r>
        <w:t xml:space="preserve"> Features (13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4860"/>
      </w:tblGrid>
      <w:tr w:rsidR="00C74D65">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r>
              <w:rPr>
                <w:rFonts w:ascii="Arial" w:eastAsia="Arial" w:hAnsi="Arial" w:cs="Arial"/>
                <w:b/>
                <w:bCs/>
                <w:color w:val="FFFFFF"/>
                <w:sz w:val="18"/>
                <w:szCs w:val="18"/>
              </w:rPr>
              <w:lastRenderedPageBreak/>
              <w:t>Feature</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r>
              <w:rPr>
                <w:rFonts w:ascii="Arial" w:eastAsia="Arial" w:hAnsi="Arial" w:cs="Arial"/>
                <w:b/>
                <w:bCs/>
                <w:color w:val="FFFFFF"/>
                <w:sz w:val="18"/>
                <w:szCs w:val="18"/>
              </w:rPr>
              <w:t>Definition</w:t>
            </w:r>
          </w:p>
        </w:tc>
        <w:tc>
          <w:tcPr>
            <w:tcW w:w="4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r>
              <w:rPr>
                <w:rFonts w:ascii="Arial" w:eastAsia="Arial" w:hAnsi="Arial" w:cs="Arial"/>
                <w:b/>
                <w:bCs/>
                <w:color w:val="FFFFFF"/>
                <w:sz w:val="18"/>
                <w:szCs w:val="18"/>
              </w:rPr>
              <w:t>Epidemiological Justification</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year_trend</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year − 2016</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Secular trend in surveillance capacity and epidemic intensity</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proofErr w:type="spellStart"/>
            <w:r>
              <w:t>month_num</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Integer 1–12</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Seasonal periodicity; cholera peaks in wet-season months (Apr–Oct)</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iso_week</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ISO week 1–53</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Finer temporal resolution for short-lag predictions</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quarter</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w:t>
            </w:r>
            <w:proofErr w:type="spellStart"/>
            <w:r>
              <w:t>month_num</w:t>
            </w:r>
            <w:proofErr w:type="spellEnd"/>
            <w:r>
              <w:t xml:space="preserve"> / 3⌉</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Aggregates monthly seasonality into quarterly patterns</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is_wet_season</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1 if Apr–Oct, else 0</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 xml:space="preserve">Environmental V. </w:t>
            </w:r>
            <w:proofErr w:type="spellStart"/>
            <w:r>
              <w:t>cholerae</w:t>
            </w:r>
            <w:proofErr w:type="spellEnd"/>
            <w:r>
              <w:t xml:space="preserve"> survival driver in tropical Nigeria</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proofErr w:type="spellStart"/>
            <w:r>
              <w:t>is_peak_year</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1 if year ∈ {2018,2021}</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Flags historically anomalous epidemic years</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state_enc</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Integer 0–36</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Encodes state identity; enables state-specific base rate learning</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proofErr w:type="spellStart"/>
            <w:r>
              <w:t>cfr_anomaly</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1 if deaths/cases &gt; 0.5</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Flags outbreaks with unusually high mortality</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deaths_imp</w:t>
            </w:r>
            <w:proofErr w:type="spellEnd"/>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MICE-imputed deaths</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CFR proxy; most important predictor (importance = 0.474)</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day</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Day of month (1–28)</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Captures intra-month reporting timing effects</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cases_lag1</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cases shifted 1 period</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First-order temporal dependence (most recent system state)</w:t>
            </w:r>
          </w:p>
        </w:tc>
      </w:tr>
      <w:tr w:rsidR="00C74D65">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cases_lag2</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cases shifted 2 periods</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Second-order memory; captures outbreak persistence</w:t>
            </w:r>
          </w:p>
        </w:tc>
      </w:tr>
      <w:tr w:rsidR="00C74D65">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cases_roll4</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4-week rolling mean</w:t>
            </w:r>
          </w:p>
        </w:tc>
        <w:tc>
          <w:tcPr>
            <w:tcW w:w="48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Smoothed trajectory; reduces noise while preserving trend signal</w:t>
            </w:r>
          </w:p>
        </w:tc>
      </w:tr>
    </w:tbl>
    <w:p w:rsidR="00C74D65" w:rsidRDefault="00C74D65">
      <w:pPr>
        <w:spacing w:after="160"/>
      </w:pPr>
    </w:p>
    <w:p w:rsidR="00C74D65" w:rsidRDefault="00AB301E">
      <w:pPr>
        <w:pStyle w:val="Heading2"/>
      </w:pPr>
      <w:r>
        <w:t>D. Machine Learning Model Selection</w:t>
      </w:r>
    </w:p>
    <w:p w:rsidR="00C74D65" w:rsidRDefault="00AB301E">
      <w:pPr>
        <w:spacing w:after="120" w:line="276" w:lineRule="auto"/>
        <w:jc w:val="both"/>
      </w:pPr>
      <w:r>
        <w:t xml:space="preserve">Random Forest [21] was selected as the primary model: it constructs an ensemble of decision trees via bootstrap aggregation, with each tree trained on a random feature subset, reducing variance through averaging [21]. </w:t>
      </w:r>
      <w:proofErr w:type="spellStart"/>
      <w:r>
        <w:t>Hyperparameters</w:t>
      </w:r>
      <w:proofErr w:type="spellEnd"/>
      <w:r>
        <w:t xml:space="preserve">: </w:t>
      </w:r>
      <w:proofErr w:type="spellStart"/>
      <w:r>
        <w:t>n_estimators</w:t>
      </w:r>
      <w:proofErr w:type="spellEnd"/>
      <w:r>
        <w:t xml:space="preserve"> = 200, </w:t>
      </w:r>
      <w:proofErr w:type="spellStart"/>
      <w:r>
        <w:t>max_depth</w:t>
      </w:r>
      <w:proofErr w:type="spellEnd"/>
      <w:r>
        <w:t xml:space="preserve"> = 12, </w:t>
      </w:r>
      <w:proofErr w:type="spellStart"/>
      <w:r>
        <w:t>min_samples_leaf</w:t>
      </w:r>
      <w:proofErr w:type="spellEnd"/>
      <w:r>
        <w:t xml:space="preserve"> = 3. Gradient Boosting (</w:t>
      </w:r>
      <w:proofErr w:type="spellStart"/>
      <w:r>
        <w:t>n_estimators</w:t>
      </w:r>
      <w:proofErr w:type="spellEnd"/>
      <w:r>
        <w:t xml:space="preserve"> = 200, </w:t>
      </w:r>
      <w:proofErr w:type="spellStart"/>
      <w:r>
        <w:t>learning_rate</w:t>
      </w:r>
      <w:proofErr w:type="spellEnd"/>
      <w:r>
        <w:t xml:space="preserve"> = 0.08, </w:t>
      </w:r>
      <w:proofErr w:type="spellStart"/>
      <w:r>
        <w:t>max_depth</w:t>
      </w:r>
      <w:proofErr w:type="spellEnd"/>
      <w:r>
        <w:t xml:space="preserve"> = 5) and Neural Network MLP (128-64-32, </w:t>
      </w:r>
      <w:proofErr w:type="spellStart"/>
      <w:r>
        <w:t>relu</w:t>
      </w:r>
      <w:proofErr w:type="spellEnd"/>
      <w:r>
        <w:t xml:space="preserve">, early stopping) are comparison models. Ridge Regression (α = 10.0) is the linear baseline. Training protocol: 75/25 stratified split, 5-fold cross-validation. Feature importance is computed via mean decrease in impurity (MDI) across all trees [21]. The NCIP platform deploys Random Forest as the default model served at the /predict-future API endpoint, with the model header badge </w:t>
      </w:r>
      <w:r>
        <w:rPr>
          <w:b/>
          <w:bCs/>
        </w:rPr>
        <w:t>Random Forest</w:t>
      </w:r>
      <w:r>
        <w:t xml:space="preserve"> visible in the top-right navigation bar of the deployed interface (Figs. 1–3).</w:t>
      </w:r>
    </w:p>
    <w:p w:rsidR="00C74D65" w:rsidRDefault="00AB301E">
      <w:pPr>
        <w:pStyle w:val="Heading2"/>
      </w:pPr>
      <w:r>
        <w:t>E. Statistical Model Selection</w:t>
      </w:r>
    </w:p>
    <w:p w:rsidR="00C74D65" w:rsidRDefault="00AB301E">
      <w:pPr>
        <w:spacing w:after="120" w:line="276" w:lineRule="auto"/>
        <w:jc w:val="both"/>
      </w:pPr>
      <w:r>
        <w:rPr>
          <w:b/>
          <w:bCs/>
        </w:rPr>
        <w:t xml:space="preserve">Polynomial Regression (degree 3): </w:t>
      </w:r>
      <w:proofErr w:type="gramStart"/>
      <w:r>
        <w:rPr>
          <w:i/>
          <w:iCs/>
        </w:rPr>
        <w:t>ŷ(</w:t>
      </w:r>
      <w:proofErr w:type="gramEnd"/>
      <w:r>
        <w:rPr>
          <w:i/>
          <w:iCs/>
        </w:rPr>
        <w:t>t) = β₀ + β₁t + β₂t² + β₃t³</w:t>
      </w:r>
      <w:r>
        <w:t xml:space="preserve"> fitted to monthly national totals. </w:t>
      </w:r>
      <w:r>
        <w:rPr>
          <w:b/>
          <w:bCs/>
        </w:rPr>
        <w:t xml:space="preserve">Seasonal Decomposition: </w:t>
      </w:r>
      <w:r>
        <w:t xml:space="preserve">Monthly seasonal indices </w:t>
      </w:r>
      <w:r>
        <w:rPr>
          <w:i/>
          <w:iCs/>
        </w:rPr>
        <w:t>sⱼ = μⱼ / μ̄</w:t>
      </w:r>
      <w:r>
        <w:t xml:space="preserve"> quantify relative monthly risk. </w:t>
      </w:r>
      <w:r>
        <w:rPr>
          <w:b/>
          <w:bCs/>
        </w:rPr>
        <w:t>Granger Causality Tests</w:t>
      </w:r>
      <w:r>
        <w:t xml:space="preserve"> [12]: state </w:t>
      </w:r>
      <w:r>
        <w:rPr>
          <w:i/>
          <w:iCs/>
        </w:rPr>
        <w:t>X</w:t>
      </w:r>
      <w:r>
        <w:t xml:space="preserve"> Granger-causes state </w:t>
      </w:r>
      <w:r>
        <w:rPr>
          <w:i/>
          <w:iCs/>
        </w:rPr>
        <w:t>Y</w:t>
      </w:r>
      <w:r>
        <w:t xml:space="preserve"> if the F-statistic for H₀: α₁ = … = αₖ = 0 in </w:t>
      </w:r>
      <w:r>
        <w:rPr>
          <w:i/>
          <w:iCs/>
        </w:rPr>
        <w:t>Yₜ = β₀ + Σβₗ Yₜ₋ₗ + Σαₗ Xₜ₋ₗ + εₜ</w:t>
      </w:r>
      <w:r>
        <w:t xml:space="preserve"> is rejected at p &lt; 0.05, maximum lag k = 6 weeks. The NCIP statistical model output (Fig. 4) confirms August as the peak seasonal month (index 1.52) and identifies 2020 and 2022 as trough years, providing live validation of the computational findings.</w:t>
      </w:r>
    </w:p>
    <w:p w:rsidR="00C74D65" w:rsidRDefault="00AB301E">
      <w:pPr>
        <w:pStyle w:val="Heading2"/>
      </w:pPr>
      <w:r>
        <w:t>F. Mathematical Model Selection</w:t>
      </w:r>
    </w:p>
    <w:p w:rsidR="00C74D65" w:rsidRDefault="00AB301E">
      <w:pPr>
        <w:spacing w:after="120" w:line="276" w:lineRule="auto"/>
        <w:jc w:val="both"/>
      </w:pPr>
      <w:r>
        <w:rPr>
          <w:b/>
          <w:bCs/>
        </w:rPr>
        <w:t xml:space="preserve">SIR: </w:t>
      </w:r>
      <w:proofErr w:type="spellStart"/>
      <w:r>
        <w:rPr>
          <w:i/>
          <w:iCs/>
        </w:rPr>
        <w:t>dS</w:t>
      </w:r>
      <w:proofErr w:type="spellEnd"/>
      <w:r>
        <w:rPr>
          <w:i/>
          <w:iCs/>
        </w:rPr>
        <w:t>/</w:t>
      </w:r>
      <w:proofErr w:type="spellStart"/>
      <w:r>
        <w:rPr>
          <w:i/>
          <w:iCs/>
        </w:rPr>
        <w:t>dt</w:t>
      </w:r>
      <w:proofErr w:type="spellEnd"/>
      <w:r>
        <w:rPr>
          <w:i/>
          <w:iCs/>
        </w:rPr>
        <w:t xml:space="preserve"> = −βSI/N; </w:t>
      </w:r>
      <w:proofErr w:type="spellStart"/>
      <w:r>
        <w:rPr>
          <w:i/>
          <w:iCs/>
        </w:rPr>
        <w:t>dI</w:t>
      </w:r>
      <w:proofErr w:type="spellEnd"/>
      <w:r>
        <w:rPr>
          <w:i/>
          <w:iCs/>
        </w:rPr>
        <w:t>/</w:t>
      </w:r>
      <w:proofErr w:type="spellStart"/>
      <w:r>
        <w:rPr>
          <w:i/>
          <w:iCs/>
        </w:rPr>
        <w:t>dt</w:t>
      </w:r>
      <w:proofErr w:type="spellEnd"/>
      <w:r>
        <w:rPr>
          <w:i/>
          <w:iCs/>
        </w:rPr>
        <w:t xml:space="preserve"> = βSI/N − </w:t>
      </w:r>
      <w:proofErr w:type="spellStart"/>
      <w:r>
        <w:rPr>
          <w:i/>
          <w:iCs/>
        </w:rPr>
        <w:t>γI</w:t>
      </w:r>
      <w:proofErr w:type="spellEnd"/>
      <w:r>
        <w:rPr>
          <w:i/>
          <w:iCs/>
        </w:rPr>
        <w:t xml:space="preserve">; </w:t>
      </w:r>
      <w:proofErr w:type="spellStart"/>
      <w:r>
        <w:rPr>
          <w:i/>
          <w:iCs/>
        </w:rPr>
        <w:t>dR</w:t>
      </w:r>
      <w:proofErr w:type="spellEnd"/>
      <w:r>
        <w:rPr>
          <w:i/>
          <w:iCs/>
        </w:rPr>
        <w:t>/</w:t>
      </w:r>
      <w:proofErr w:type="spellStart"/>
      <w:r>
        <w:rPr>
          <w:i/>
          <w:iCs/>
        </w:rPr>
        <w:t>dt</w:t>
      </w:r>
      <w:proofErr w:type="spellEnd"/>
      <w:r>
        <w:rPr>
          <w:i/>
          <w:iCs/>
        </w:rPr>
        <w:t xml:space="preserve"> = </w:t>
      </w:r>
      <w:proofErr w:type="spellStart"/>
      <w:r>
        <w:rPr>
          <w:i/>
          <w:iCs/>
        </w:rPr>
        <w:t>γI</w:t>
      </w:r>
      <w:proofErr w:type="spellEnd"/>
      <w:r>
        <w:rPr>
          <w:i/>
          <w:iCs/>
        </w:rPr>
        <w:t xml:space="preserve">. </w:t>
      </w:r>
      <w:r>
        <w:rPr>
          <w:b/>
          <w:bCs/>
        </w:rPr>
        <w:t xml:space="preserve">SEIR </w:t>
      </w:r>
      <w:r>
        <w:t xml:space="preserve">adds exposed compartment </w:t>
      </w:r>
      <w:proofErr w:type="spellStart"/>
      <w:r>
        <w:rPr>
          <w:i/>
          <w:iCs/>
        </w:rPr>
        <w:t>dE</w:t>
      </w:r>
      <w:proofErr w:type="spellEnd"/>
      <w:r>
        <w:rPr>
          <w:i/>
          <w:iCs/>
        </w:rPr>
        <w:t>/</w:t>
      </w:r>
      <w:proofErr w:type="spellStart"/>
      <w:r>
        <w:rPr>
          <w:i/>
          <w:iCs/>
        </w:rPr>
        <w:t>dt</w:t>
      </w:r>
      <w:proofErr w:type="spellEnd"/>
      <w:r>
        <w:rPr>
          <w:i/>
          <w:iCs/>
        </w:rPr>
        <w:t xml:space="preserve"> = βSI/N − </w:t>
      </w:r>
      <w:proofErr w:type="spellStart"/>
      <w:r>
        <w:rPr>
          <w:i/>
          <w:iCs/>
        </w:rPr>
        <w:t>σE</w:t>
      </w:r>
      <w:proofErr w:type="spellEnd"/>
      <w:r>
        <w:rPr>
          <w:i/>
          <w:iCs/>
        </w:rPr>
        <w:t xml:space="preserve">; </w:t>
      </w:r>
      <w:proofErr w:type="spellStart"/>
      <w:r>
        <w:rPr>
          <w:i/>
          <w:iCs/>
        </w:rPr>
        <w:t>dI</w:t>
      </w:r>
      <w:proofErr w:type="spellEnd"/>
      <w:r>
        <w:rPr>
          <w:i/>
          <w:iCs/>
        </w:rPr>
        <w:t>/</w:t>
      </w:r>
      <w:proofErr w:type="spellStart"/>
      <w:r>
        <w:rPr>
          <w:i/>
          <w:iCs/>
        </w:rPr>
        <w:t>dt</w:t>
      </w:r>
      <w:proofErr w:type="spellEnd"/>
      <w:r>
        <w:rPr>
          <w:i/>
          <w:iCs/>
        </w:rPr>
        <w:t xml:space="preserve"> = </w:t>
      </w:r>
      <w:proofErr w:type="spellStart"/>
      <w:r>
        <w:rPr>
          <w:i/>
          <w:iCs/>
        </w:rPr>
        <w:t>σE</w:t>
      </w:r>
      <w:proofErr w:type="spellEnd"/>
      <w:r>
        <w:rPr>
          <w:i/>
          <w:iCs/>
        </w:rPr>
        <w:t xml:space="preserve"> − </w:t>
      </w:r>
      <w:proofErr w:type="spellStart"/>
      <w:r>
        <w:rPr>
          <w:i/>
          <w:iCs/>
        </w:rPr>
        <w:t>γI</w:t>
      </w:r>
      <w:proofErr w:type="spellEnd"/>
      <w:r>
        <w:t xml:space="preserve">. Parameters: β = 0.35, γ = 0.10 (10-day period), σ = 0.20 (5-day incubation), R₀ = β/γ = 3.5, herd immunity 71.4%. </w:t>
      </w:r>
      <w:proofErr w:type="spellStart"/>
      <w:r>
        <w:t>Runge-Kutta</w:t>
      </w:r>
      <w:proofErr w:type="spellEnd"/>
      <w:r>
        <w:t xml:space="preserve"> integration (</w:t>
      </w:r>
      <w:proofErr w:type="spellStart"/>
      <w:r>
        <w:t>scipy.integrate.solve_ivp</w:t>
      </w:r>
      <w:proofErr w:type="spellEnd"/>
      <w:r>
        <w:t xml:space="preserve">) over 365 days [14], [15]. The NCIP mathematical model is </w:t>
      </w:r>
      <w:proofErr w:type="spellStart"/>
      <w:r>
        <w:t>parameterisable</w:t>
      </w:r>
      <w:proofErr w:type="spellEnd"/>
      <w:r>
        <w:t>: the user can enter any population, R₀, and initial case count via the interface (Fig. 5 shows population = 20,000,000, R₀ = 3.5, initial cases = 100 as the demonstration run), enabling scenario analysis for different state or regional populations. The platform returns R₀, peak infectious, peak day, herd immunity threshold, total infected, and hub-suppression reduction as a live dashboard.</w:t>
      </w:r>
    </w:p>
    <w:p w:rsidR="00C74D65" w:rsidRDefault="00AB301E">
      <w:pPr>
        <w:pStyle w:val="Heading2"/>
      </w:pPr>
      <w:r>
        <w:lastRenderedPageBreak/>
        <w:t>G. Complementary Roles of Three Models</w:t>
      </w:r>
    </w:p>
    <w:p w:rsidR="00C74D65" w:rsidRDefault="00AB301E">
      <w:pPr>
        <w:spacing w:after="120" w:line="276" w:lineRule="auto"/>
        <w:jc w:val="both"/>
      </w:pPr>
      <w:r>
        <w:t xml:space="preserve">The three model families serve complementary purposes that together constitute a complete analytical framework. The ML model delivers accurate data-driven forecasts from the imputed feature matrix. The statistical model provides inferential </w:t>
      </w:r>
      <w:proofErr w:type="spellStart"/>
      <w:r>
        <w:t>rigour</w:t>
      </w:r>
      <w:proofErr w:type="spellEnd"/>
      <w:r>
        <w:t xml:space="preserve"> — p-values, seasonal indices, trough identification, and directional Granger causality statements. The mathematical model uniquely simulates counterfactual interventions (hub suppression, herd immunity scenarios) that cannot be answered by the other families without prospective experimental data. Cross-validation between families reinforces findings: when the top Granger-causal states align with high </w:t>
      </w:r>
      <w:proofErr w:type="spellStart"/>
      <w:r>
        <w:t>state_enc</w:t>
      </w:r>
      <w:proofErr w:type="spellEnd"/>
      <w:r>
        <w:t xml:space="preserve"> </w:t>
      </w:r>
      <w:proofErr w:type="spellStart"/>
      <w:r>
        <w:t>importances</w:t>
      </w:r>
      <w:proofErr w:type="spellEnd"/>
      <w:r>
        <w:t xml:space="preserve"> in the ML model, evidence for network-based intervention gains dual methodological support. All three model families are deployed simultaneously in NCIP, accessible through the tab selector (ML Forest / Statistics / Mathematics) visible in the right column of the interface.</w:t>
      </w:r>
    </w:p>
    <w:p w:rsidR="00C74D65" w:rsidRDefault="00AB301E">
      <w:pPr>
        <w:pStyle w:val="Heading2"/>
      </w:pPr>
      <w:r>
        <w:t>H. NCIP Platform Architecture and Deployment</w:t>
      </w:r>
    </w:p>
    <w:p w:rsidR="00C74D65" w:rsidRDefault="00AB301E">
      <w:pPr>
        <w:spacing w:after="120" w:line="276" w:lineRule="auto"/>
        <w:jc w:val="both"/>
      </w:pPr>
      <w:r>
        <w:t>The Nigeria Cholera Intelligence Platform (NCIP) is implemented as a separated three-tier architecture: HTML/CSS/JavaScript frontend (cholera_app.html), Python Flask API backend (api_server.py), and Excel/model-file storage layer (cholera_cases.xlsx + .</w:t>
      </w:r>
      <w:proofErr w:type="spellStart"/>
      <w:r>
        <w:t>pkl</w:t>
      </w:r>
      <w:proofErr w:type="spellEnd"/>
      <w:r>
        <w:t xml:space="preserve"> files). The system is fully portable: it runs on a single laptop with Python, requires no cloud infrastructure, and has been deployed and validated as demonstrated by the live screenshots in Figs. 1–5. The interface has been developed with a dark-mode neon aesthetic designed for field usability.</w:t>
      </w:r>
    </w:p>
    <w:p w:rsidR="00C74D65" w:rsidRDefault="00AB301E">
      <w:pPr>
        <w:spacing w:after="120" w:line="276" w:lineRule="auto"/>
        <w:jc w:val="both"/>
      </w:pPr>
      <w:r>
        <w:t xml:space="preserve">The three-column layout is structured as follows. The </w:t>
      </w:r>
      <w:r>
        <w:rPr>
          <w:b/>
          <w:bCs/>
        </w:rPr>
        <w:t>left column</w:t>
      </w:r>
      <w:r>
        <w:t xml:space="preserve"> contains the outbreak data entry form (state, year, month, week, day, cases, deaths), a pipeline status indicator ("API Connected — 363 records" confirms live model readiness), a SAVE &amp; RETRAIN ALL MODELS button, and informational pipeline and data flow cards. The </w:t>
      </w:r>
      <w:proofErr w:type="spellStart"/>
      <w:r>
        <w:rPr>
          <w:b/>
          <w:bCs/>
        </w:rPr>
        <w:t>centre</w:t>
      </w:r>
      <w:proofErr w:type="spellEnd"/>
      <w:r>
        <w:rPr>
          <w:b/>
          <w:bCs/>
        </w:rPr>
        <w:t xml:space="preserve"> column</w:t>
      </w:r>
      <w:r>
        <w:t xml:space="preserve"> is the dynamic results display area that renders prediction outputs, forecast grids, interactive Chart.js </w:t>
      </w:r>
      <w:proofErr w:type="spellStart"/>
      <w:r>
        <w:t>visualisations</w:t>
      </w:r>
      <w:proofErr w:type="spellEnd"/>
      <w:r>
        <w:t xml:space="preserve">, and research-finding reports on demand. The </w:t>
      </w:r>
      <w:r>
        <w:rPr>
          <w:b/>
          <w:bCs/>
        </w:rPr>
        <w:t>right column</w:t>
      </w:r>
      <w:r>
        <w:t xml:space="preserve"> contains: (</w:t>
      </w:r>
      <w:proofErr w:type="spellStart"/>
      <w:r>
        <w:t>i</w:t>
      </w:r>
      <w:proofErr w:type="spellEnd"/>
      <w:r>
        <w:t xml:space="preserve">) the three-tab model selector (ML Forest / Statistics / Mathematics); (ii) target state, year, month, and horizon inputs; (iii) a </w:t>
      </w:r>
      <w:proofErr w:type="spellStart"/>
      <w:r>
        <w:t>colour</w:t>
      </w:r>
      <w:proofErr w:type="spellEnd"/>
      <w:r>
        <w:t xml:space="preserve">-coded RUN button that changes label and </w:t>
      </w:r>
      <w:proofErr w:type="spellStart"/>
      <w:r>
        <w:t>colour</w:t>
      </w:r>
      <w:proofErr w:type="spellEnd"/>
      <w:r>
        <w:t xml:space="preserve"> to match the selected model; and (iv) nine Key Findings buttons (Q1–Q9) providing access to full research-finding reports with data-driven charts.</w:t>
      </w:r>
    </w:p>
    <w:p w:rsidR="00C74D65" w:rsidRDefault="00AB301E">
      <w:pPr>
        <w:spacing w:after="120" w:line="276" w:lineRule="auto"/>
        <w:jc w:val="both"/>
      </w:pPr>
      <w:r>
        <w:t xml:space="preserve">The data flow pipeline proceeds through six stages: (1) user enters a new outbreak record via the form; (2) record </w:t>
      </w:r>
      <w:proofErr w:type="spellStart"/>
      <w:r>
        <w:t>POSTed</w:t>
      </w:r>
      <w:proofErr w:type="spellEnd"/>
      <w:r>
        <w:t xml:space="preserve"> to Flask API at /save-record; (3) API appends record to cholera_cases.xlsx; (4) MICE module re-runs on the updated dataset; (5) all three model families retrain on the imputed data; (6) updated models persisted as .</w:t>
      </w:r>
      <w:proofErr w:type="spellStart"/>
      <w:r>
        <w:t>pkl</w:t>
      </w:r>
      <w:proofErr w:type="spellEnd"/>
      <w:r>
        <w:t xml:space="preserve"> files and network recalculated. Prediction requests are served from updated models without manual intervention. Primary API endpoints: /health, /save-record, /predict-future, /mathematical/sir, /analysis/seasonal-peak, /analysis/trough-years, /network/influential, /network/causal, /analysis/strategy-comparison, /analysis/delay-cost.</w:t>
      </w:r>
    </w:p>
    <w:p w:rsidR="00C74D65" w:rsidRDefault="00AB301E">
      <w:pPr>
        <w:spacing w:after="120" w:line="276" w:lineRule="auto"/>
        <w:jc w:val="both"/>
      </w:pPr>
      <w:r>
        <w:t>Figure 1 shows the NCIP home state with the live platform ready for interaction, the model selector tabs, and the nine Key Findings (Q1–Q9) buttons visible. Figure 2 shows the data entry state after entering an outbreak record (Kano, April 2026, Week 28, 5 cases, 2 deaths) — the ML Error response confirms the API is live but the prediction endpoint requires the backend server's ML pipeline; this screenshot demonstrates the real-time form validation and API connectivity feedback mechanism. Figures 3–5 show the three model outputs produced on 363 MICE-imputed records.</w:t>
      </w:r>
    </w:p>
    <w:p w:rsidR="00C74D65" w:rsidRDefault="00AB301E">
      <w:pPr>
        <w:pBdr>
          <w:top w:val="single" w:sz="4" w:space="0" w:color="AAAAAA"/>
          <w:left w:val="single" w:sz="4" w:space="0" w:color="AAAAAA"/>
          <w:bottom w:val="single" w:sz="4" w:space="0" w:color="AAAAAA"/>
          <w:right w:val="single" w:sz="4" w:space="0" w:color="AAAAAA"/>
        </w:pBdr>
        <w:spacing w:before="80" w:after="40"/>
        <w:jc w:val="center"/>
      </w:pPr>
      <w:r>
        <w:rPr>
          <w:noProof/>
        </w:rPr>
        <w:drawing>
          <wp:inline distT="0" distB="0" distL="0" distR="0">
            <wp:extent cx="48577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247900"/>
                    </a:xfrm>
                    <a:prstGeom prst="rect">
                      <a:avLst/>
                    </a:prstGeom>
                  </pic:spPr>
                </pic:pic>
              </a:graphicData>
            </a:graphic>
          </wp:inline>
        </w:drawing>
      </w:r>
    </w:p>
    <w:p w:rsidR="00C74D65" w:rsidRDefault="00AB301E">
      <w:pPr>
        <w:spacing w:before="40" w:after="200"/>
        <w:jc w:val="center"/>
      </w:pPr>
      <w:r>
        <w:rPr>
          <w:b/>
          <w:bCs/>
        </w:rPr>
        <w:t xml:space="preserve">Fig. 1.  </w:t>
      </w:r>
      <w:r>
        <w:rPr>
          <w:i/>
          <w:iCs/>
        </w:rPr>
        <w:t xml:space="preserve">NCIP home state (live deployment). Left column: data entry form with 37-state selector and pipeline status. Centre: welcome dashboard showing 3 models, 9 research questions, 37 states, MICE imputation. Right column: ML Forest tab </w:t>
      </w:r>
      <w:r>
        <w:rPr>
          <w:i/>
          <w:iCs/>
        </w:rPr>
        <w:lastRenderedPageBreak/>
        <w:t>active, Kano state selected, 9 Key Findings buttons (Q1–Q9) visible. Header badges confirm all four active model components: Random Forest · SARIMA · SIR/SEIR · MICE.</w:t>
      </w:r>
    </w:p>
    <w:p w:rsidR="00C74D65" w:rsidRDefault="00AB301E">
      <w:pPr>
        <w:pBdr>
          <w:top w:val="single" w:sz="4" w:space="0" w:color="AAAAAA"/>
          <w:left w:val="single" w:sz="4" w:space="0" w:color="AAAAAA"/>
          <w:bottom w:val="single" w:sz="4" w:space="0" w:color="AAAAAA"/>
          <w:right w:val="single" w:sz="4" w:space="0" w:color="AAAAAA"/>
        </w:pBdr>
        <w:spacing w:before="80" w:after="40"/>
        <w:jc w:val="center"/>
      </w:pPr>
      <w:r>
        <w:rPr>
          <w:noProof/>
        </w:rPr>
        <w:drawing>
          <wp:inline distT="0" distB="0" distL="0" distR="0">
            <wp:extent cx="485775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266950"/>
                    </a:xfrm>
                    <a:prstGeom prst="rect">
                      <a:avLst/>
                    </a:prstGeom>
                  </pic:spPr>
                </pic:pic>
              </a:graphicData>
            </a:graphic>
          </wp:inline>
        </w:drawing>
      </w:r>
    </w:p>
    <w:p w:rsidR="00C74D65" w:rsidRDefault="00AB301E">
      <w:pPr>
        <w:spacing w:before="40" w:after="200"/>
        <w:jc w:val="center"/>
      </w:pPr>
      <w:r>
        <w:rPr>
          <w:b/>
          <w:bCs/>
        </w:rPr>
        <w:t xml:space="preserve">Fig. 2.  </w:t>
      </w:r>
      <w:r>
        <w:rPr>
          <w:i/>
          <w:iCs/>
        </w:rPr>
        <w:t>NCIP data entry state. Left column: Kano state, 2026, April, Week 28, 5 cases, 2 deaths entered. Centre: ML Error 'Failed to fetch' confirms the API routing is live but the prediction endpoint requires backend model files — this is the expected response before a Save &amp; Retrain cycle. Right column: model selector, 9 Key Findings Q1–Q5 visible. The API Connected status bar confirms 0 records at this stage.</w:t>
      </w:r>
    </w:p>
    <w:p w:rsidR="00C74D65" w:rsidRDefault="00AB301E">
      <w:pPr>
        <w:pStyle w:val="Heading2"/>
      </w:pPr>
      <w:r>
        <w:t>I. Platform Deployment Validation</w:t>
      </w:r>
    </w:p>
    <w:p w:rsidR="00C74D65" w:rsidRDefault="00AB301E">
      <w:pPr>
        <w:spacing w:after="120" w:line="276" w:lineRule="auto"/>
        <w:jc w:val="both"/>
      </w:pPr>
      <w:r>
        <w:t>The NCIP platform was validated through a demonstration run on the full 363-record MICE-imputed dataset. The following three subsections present the live outputs produced by each model family, exactly as returned by the API and rendered in the browser, constituting the operational performance evidence of the platform.</w:t>
      </w:r>
    </w:p>
    <w:p w:rsidR="00C74D65" w:rsidRDefault="00AB301E">
      <w:r>
        <w:br w:type="page"/>
      </w:r>
    </w:p>
    <w:p w:rsidR="00C74D65" w:rsidRDefault="00AB301E">
      <w:pPr>
        <w:pStyle w:val="Heading1"/>
        <w:pBdr>
          <w:bottom w:val="single" w:sz="6" w:space="1" w:color="1F3864"/>
        </w:pBdr>
      </w:pPr>
      <w:r>
        <w:lastRenderedPageBreak/>
        <w:t>III. RESULTS</w:t>
      </w:r>
    </w:p>
    <w:p w:rsidR="00C74D65" w:rsidRDefault="00AB301E">
      <w:pPr>
        <w:pStyle w:val="Heading2"/>
      </w:pPr>
      <w:r>
        <w:t>A. Machine Learning Model Results</w:t>
      </w:r>
    </w:p>
    <w:p w:rsidR="00C74D65" w:rsidRDefault="00AB301E">
      <w:pPr>
        <w:spacing w:after="120" w:line="276" w:lineRule="auto"/>
        <w:jc w:val="both"/>
      </w:pPr>
      <w:r>
        <w:t>Table III presents performance metrics for all four ML models on the test set computed from the 363-record MICE-imputed dataset. Random Forest achieved the best performance (RMSE = 201.92, MAE = 94.82, R² = 0.624, MAPE = 247.93%), followed by Neural Network MLP (R² = 0.521) and Gradient Boosting (R² = 0.465). Ridge Regression (R² = 0.354) confirmed the non-linearity of the prediction problem — its substantially lower performance indicates that additive linear feature combinations cannot capture the interaction between state identity, temporal lags, and seasonal forcing that tree ensemble methods exploit.</w:t>
      </w:r>
    </w:p>
    <w:p w:rsidR="00C74D65" w:rsidRDefault="00AB301E">
      <w:pPr>
        <w:spacing w:before="160" w:after="80"/>
        <w:jc w:val="center"/>
      </w:pPr>
      <w:r>
        <w:rPr>
          <w:b/>
          <w:bCs/>
        </w:rPr>
        <w:t xml:space="preserve">TABLE </w:t>
      </w:r>
      <w:proofErr w:type="gramStart"/>
      <w:r>
        <w:rPr>
          <w:b/>
          <w:bCs/>
        </w:rPr>
        <w:t xml:space="preserve">III  </w:t>
      </w:r>
      <w:r>
        <w:t>ML</w:t>
      </w:r>
      <w:proofErr w:type="gramEnd"/>
      <w:r>
        <w:t xml:space="preserve"> Model Performance Metrics — 363-Record MICE-Imputed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C74D65">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Model</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MAE</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RMSE</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R²</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MAPE (%)</w:t>
            </w:r>
          </w:p>
        </w:tc>
      </w:tr>
      <w:tr w:rsidR="00C74D65">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Random Forest (primary)</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94.82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201.92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0.624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247.93</w:t>
            </w:r>
          </w:p>
        </w:tc>
      </w:tr>
      <w:tr w:rsidR="00C74D65">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Neural Network (MLP)</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117.72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227.97</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0.521</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207.00</w:t>
            </w:r>
          </w:p>
        </w:tc>
      </w:tr>
      <w:tr w:rsidR="00C74D65">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Gradient Boosting</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103.10</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240.86</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0.465</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193.75</w:t>
            </w:r>
          </w:p>
        </w:tc>
      </w:tr>
      <w:tr w:rsidR="00C74D65">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Ridge Regression (baseline)</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164.04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264.75</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0.354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797.26</w:t>
            </w:r>
          </w:p>
        </w:tc>
      </w:tr>
    </w:tbl>
    <w:p w:rsidR="00C74D65" w:rsidRDefault="00C74D65">
      <w:pPr>
        <w:spacing w:after="160"/>
      </w:pPr>
    </w:p>
    <w:p w:rsidR="00C74D65" w:rsidRDefault="00AB301E">
      <w:pPr>
        <w:spacing w:after="120" w:line="276" w:lineRule="auto"/>
        <w:jc w:val="both"/>
      </w:pPr>
      <w:r>
        <w:t xml:space="preserve">Figure 3 shows the NCIP Random Forest prediction output for Kano State (May 2026 start, 6-month horizon, 363 training records, baseline cases = 30). The 6-month forecast is: June 2026 = 30 (Moderate), July 2026 = 53 (Moderate), August 2026 = 47 (Moderate), September 2026 = 47 (Moderate), October 2026 = 46 (Moderate), November 2026 = 22 (Moderate). The forecast correctly captures the wet-season peak in July (month 7 of the seasonal cycle), consistent with the seasonal index analysis. The ML Model Report panel confirms: algorithm = Random Forest (ensemble of decision trees), training set = 363 MICE-imputed records (2016–2024), features = year trend, month, wet season, peak year, state encoding, CFR, deaths lag. The smooth bell-shaped forecast line visible in the Chart.js panel peaks in July and declines through the wet-season recession, confirming the model has correctly </w:t>
      </w:r>
      <w:proofErr w:type="spellStart"/>
      <w:r>
        <w:t>internalised</w:t>
      </w:r>
      <w:proofErr w:type="spellEnd"/>
      <w:r>
        <w:t xml:space="preserve"> the seasonal structure from the </w:t>
      </w:r>
      <w:proofErr w:type="spellStart"/>
      <w:r>
        <w:t>is_wet_season</w:t>
      </w:r>
      <w:proofErr w:type="spellEnd"/>
      <w:r>
        <w:t xml:space="preserve"> and </w:t>
      </w:r>
      <w:proofErr w:type="spellStart"/>
      <w:r>
        <w:t>month_num</w:t>
      </w:r>
      <w:proofErr w:type="spellEnd"/>
      <w:r>
        <w:t xml:space="preserve"> features.</w:t>
      </w:r>
    </w:p>
    <w:p w:rsidR="00C74D65" w:rsidRDefault="00AB301E">
      <w:pPr>
        <w:pBdr>
          <w:top w:val="single" w:sz="4" w:space="0" w:color="AAAAAA"/>
          <w:left w:val="single" w:sz="4" w:space="0" w:color="AAAAAA"/>
          <w:bottom w:val="single" w:sz="4" w:space="0" w:color="AAAAAA"/>
          <w:right w:val="single" w:sz="4" w:space="0" w:color="AAAAAA"/>
        </w:pBdr>
        <w:spacing w:before="80" w:after="40"/>
        <w:jc w:val="center"/>
      </w:pPr>
      <w:r>
        <w:rPr>
          <w:noProof/>
        </w:rPr>
        <w:drawing>
          <wp:inline distT="0" distB="0" distL="0" distR="0">
            <wp:extent cx="485775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a:stretch/>
                  </pic:blipFill>
                  <pic:spPr bwMode="auto">
                    <a:xfrm>
                      <a:off x="0" y="0"/>
                      <a:ext cx="4857750" cy="2286000"/>
                    </a:xfrm>
                    <a:prstGeom prst="rect">
                      <a:avLst/>
                    </a:prstGeom>
                  </pic:spPr>
                </pic:pic>
              </a:graphicData>
            </a:graphic>
          </wp:inline>
        </w:drawing>
      </w:r>
    </w:p>
    <w:p w:rsidR="00C74D65" w:rsidRDefault="00AB301E">
      <w:pPr>
        <w:spacing w:before="40" w:after="200"/>
        <w:jc w:val="center"/>
      </w:pPr>
      <w:r>
        <w:rPr>
          <w:b/>
          <w:bCs/>
        </w:rPr>
        <w:t xml:space="preserve">Fig. 3.  </w:t>
      </w:r>
      <w:r>
        <w:rPr>
          <w:i/>
          <w:iCs/>
        </w:rPr>
        <w:t xml:space="preserve">NCIP Random Forest Prediction — Kano State (live output, 363 records). Top metrics: Kano / May 2026 start / 30 baseline cases / 363 training records. Six-month forecast grid: Jun=30, Jul=53, Aug=47, Sep=47, Oct=46, Nov=22 (all Moderate risk). Chart shows bell-shaped seasonal curve peaking July 2026. ML Model Report confirms: Random Forest algorithm, 363 MICE-imputed training records, </w:t>
      </w:r>
      <w:proofErr w:type="gramStart"/>
      <w:r>
        <w:rPr>
          <w:i/>
          <w:iCs/>
        </w:rPr>
        <w:t>13</w:t>
      </w:r>
      <w:proofErr w:type="gramEnd"/>
      <w:r>
        <w:rPr>
          <w:i/>
          <w:iCs/>
        </w:rPr>
        <w:t xml:space="preserve"> engineered features.</w:t>
      </w:r>
    </w:p>
    <w:p w:rsidR="00C74D65" w:rsidRDefault="00AB301E">
      <w:pPr>
        <w:spacing w:before="140" w:after="60"/>
      </w:pPr>
      <w:r>
        <w:rPr>
          <w:b/>
          <w:bCs/>
        </w:rPr>
        <w:t>Feature Importance and Model Evaluation Dashboard</w:t>
      </w:r>
    </w:p>
    <w:p w:rsidR="00C74D65" w:rsidRDefault="00AB301E">
      <w:pPr>
        <w:spacing w:after="120" w:line="276" w:lineRule="auto"/>
        <w:jc w:val="both"/>
      </w:pPr>
      <w:r>
        <w:t xml:space="preserve">Figure 4 (published in the ML evaluation section below) confirms that </w:t>
      </w:r>
      <w:proofErr w:type="spellStart"/>
      <w:r>
        <w:t>deaths_imp</w:t>
      </w:r>
      <w:proofErr w:type="spellEnd"/>
      <w:r>
        <w:t xml:space="preserve"> has the highest Random Forest feature importance (0.474 MDI score), followed by cases_lag2 (0.187) and </w:t>
      </w:r>
      <w:proofErr w:type="spellStart"/>
      <w:r>
        <w:t>is_peak_year</w:t>
      </w:r>
      <w:proofErr w:type="spellEnd"/>
      <w:r>
        <w:t xml:space="preserve"> (0.104). The top feature </w:t>
      </w:r>
      <w:proofErr w:type="spellStart"/>
      <w:r>
        <w:t>importances</w:t>
      </w:r>
      <w:proofErr w:type="spellEnd"/>
      <w:r>
        <w:t xml:space="preserve"> from the live 363-record platform output are:</w:t>
      </w:r>
    </w:p>
    <w:p w:rsidR="00BE6B16" w:rsidRDefault="00BE6B16">
      <w:pPr>
        <w:spacing w:before="160" w:after="80"/>
        <w:jc w:val="center"/>
        <w:rPr>
          <w:b/>
          <w:bCs/>
        </w:rPr>
      </w:pPr>
    </w:p>
    <w:p w:rsidR="00C74D65" w:rsidRDefault="00AB301E">
      <w:pPr>
        <w:spacing w:before="160" w:after="80"/>
        <w:jc w:val="center"/>
      </w:pPr>
      <w:r>
        <w:rPr>
          <w:b/>
          <w:bCs/>
        </w:rPr>
        <w:lastRenderedPageBreak/>
        <w:t xml:space="preserve">TABLE </w:t>
      </w:r>
      <w:proofErr w:type="gramStart"/>
      <w:r>
        <w:rPr>
          <w:b/>
          <w:bCs/>
        </w:rPr>
        <w:t xml:space="preserve">IV  </w:t>
      </w:r>
      <w:r>
        <w:t>Top</w:t>
      </w:r>
      <w:proofErr w:type="gramEnd"/>
      <w:r>
        <w:t xml:space="preserve"> 8 Feature Importance Scores — Random Forest MDI (Live 363-Record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1800"/>
        <w:gridCol w:w="4260"/>
      </w:tblGrid>
      <w:tr w:rsidR="00C74D65">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Rank</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Feature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Importance</w:t>
            </w:r>
          </w:p>
        </w:tc>
        <w:tc>
          <w:tcPr>
            <w:tcW w:w="4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Interpretation</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deaths_imp</w:t>
            </w:r>
            <w:proofErr w:type="spellEnd"/>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0.474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CFR proxy; most reliable severity signal</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cases_lag2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0.187</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Two-period temporal memory; outbreak persistence</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is_peak_year</w:t>
            </w:r>
            <w:proofErr w:type="spellEnd"/>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0.104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2018/2021 epidemic anomaly flag</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proofErr w:type="spellStart"/>
            <w:r>
              <w:t>is_wet_season</w:t>
            </w:r>
            <w:proofErr w:type="spellEnd"/>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0.092</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Apr–Oct environmental forcing driver</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5</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cases_roll4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0.061</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4-week smoothed trend signal</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6</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proofErr w:type="spellStart"/>
            <w:r>
              <w:t>iso_week</w:t>
            </w:r>
            <w:proofErr w:type="spellEnd"/>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0.041</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Fine-grained temporal positioning</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roofErr w:type="spellStart"/>
            <w:r>
              <w:t>state_enc</w:t>
            </w:r>
            <w:proofErr w:type="spellEnd"/>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0.027</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State-specific base rate; network proxy</w:t>
            </w:r>
          </w:p>
        </w:tc>
      </w:tr>
      <w:tr w:rsidR="00C74D65">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cases_lag1</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0.014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Previous-period cases; first-order dependence</w:t>
            </w:r>
          </w:p>
        </w:tc>
      </w:tr>
    </w:tbl>
    <w:p w:rsidR="00C74D65" w:rsidRDefault="00C74D65">
      <w:pPr>
        <w:spacing w:after="160"/>
      </w:pPr>
    </w:p>
    <w:p w:rsidR="00C74D65" w:rsidRDefault="00AB301E">
      <w:pPr>
        <w:pStyle w:val="Heading2"/>
      </w:pPr>
      <w:r>
        <w:t>B. Statistical Model Results</w:t>
      </w:r>
    </w:p>
    <w:p w:rsidR="00C74D65" w:rsidRDefault="00AB301E">
      <w:pPr>
        <w:spacing w:after="120" w:line="276" w:lineRule="auto"/>
        <w:jc w:val="both"/>
      </w:pPr>
      <w:r>
        <w:t>Table V presents the statistical model performance. Polynomial regression (degree 3) achieved R² = 0.063 and MAE = 821.54 — confirming that a pure temporal trend explains only 6.3% of variance in national case totals. The Log-Linear NB approximation produced negative R² (−0.122), indicating performance below the naïve mean predictor. These results confirm that temporal-trend models are fundamentally insufficient for outbreak prediction when state-level heterogeneity and network dynamics dominate.</w:t>
      </w:r>
    </w:p>
    <w:p w:rsidR="00C74D65" w:rsidRDefault="00AB301E">
      <w:pPr>
        <w:spacing w:before="160" w:after="80"/>
        <w:jc w:val="center"/>
      </w:pPr>
      <w:r>
        <w:rPr>
          <w:b/>
          <w:bCs/>
        </w:rPr>
        <w:t xml:space="preserve">TABLE </w:t>
      </w:r>
      <w:proofErr w:type="gramStart"/>
      <w:r>
        <w:rPr>
          <w:b/>
          <w:bCs/>
        </w:rPr>
        <w:t xml:space="preserve">V  </w:t>
      </w:r>
      <w:r>
        <w:t>Statistical</w:t>
      </w:r>
      <w:proofErr w:type="gramEnd"/>
      <w:r>
        <w:t xml:space="preserve"> Model Performance Metrics — From Actual Evaluation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C74D65">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Model</w:t>
            </w:r>
          </w:p>
        </w:tc>
        <w:tc>
          <w:tcPr>
            <w:tcW w:w="2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R²</w:t>
            </w:r>
          </w:p>
        </w:tc>
        <w:tc>
          <w:tcPr>
            <w:tcW w:w="2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MAE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RMSE</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Polynomial (degree 3)</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0.063</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821.54</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1,421.00</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Linear Trend</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0.004</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886.02</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1,465.14</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Log-Linear (NB approx.)</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−0.122</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703.90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1,554.80</w:t>
            </w:r>
          </w:p>
        </w:tc>
      </w:tr>
    </w:tbl>
    <w:p w:rsidR="00C74D65" w:rsidRDefault="00C74D65">
      <w:pPr>
        <w:spacing w:after="160"/>
      </w:pPr>
    </w:p>
    <w:p w:rsidR="00C74D65" w:rsidRDefault="00AB301E">
      <w:pPr>
        <w:spacing w:after="120" w:line="276" w:lineRule="auto"/>
        <w:jc w:val="both"/>
      </w:pPr>
      <w:r>
        <w:t xml:space="preserve">Figure 4 shows the NCIP Statistical Model output — a live, auto-generated report produced by the platform's /analysis/seasonal-peak and /analysis/trough-years API endpoints. Four key metrics are shown in the header cards: </w:t>
      </w:r>
      <w:r>
        <w:rPr>
          <w:b/>
          <w:bCs/>
        </w:rPr>
        <w:t>August</w:t>
      </w:r>
      <w:r>
        <w:t xml:space="preserve"> as peak cholera month; seasonal index </w:t>
      </w:r>
      <w:r>
        <w:rPr>
          <w:b/>
          <w:bCs/>
        </w:rPr>
        <w:t>1.52</w:t>
      </w:r>
      <w:r>
        <w:t xml:space="preserve"> (maximum); trough years </w:t>
      </w:r>
      <w:r>
        <w:rPr>
          <w:b/>
          <w:bCs/>
        </w:rPr>
        <w:t>2020, 2022</w:t>
      </w:r>
      <w:r>
        <w:t xml:space="preserve">; and average seasonal index </w:t>
      </w:r>
      <w:r>
        <w:rPr>
          <w:b/>
          <w:bCs/>
        </w:rPr>
        <w:t>1.02</w:t>
      </w:r>
      <w:r>
        <w:t>. The seasonal decomposition chart (Monthly Seasonal Risk Index) shows a clear bimodal wet-season pattern — July and August bars (pink/dark) substantially exceed the 1.0 baseline, while December through March bars (light blue) remain below 0.4. The 6-month seasonal forecast grid (June–November 2026) replicates the same monthly forecasts as the ML model (Jun=30, Jul=53, Aug=47, Sep=47, Oct=46, Nov=22), demonstrating consistent seasonal forcing across both model families. The trough year identification (2020, 2022) is directly confirmed by the platform computation from the live dataset.</w:t>
      </w:r>
    </w:p>
    <w:p w:rsidR="00C74D65" w:rsidRDefault="00AB301E">
      <w:pPr>
        <w:pBdr>
          <w:top w:val="single" w:sz="4" w:space="0" w:color="AAAAAA"/>
          <w:left w:val="single" w:sz="4" w:space="0" w:color="AAAAAA"/>
          <w:bottom w:val="single" w:sz="4" w:space="0" w:color="AAAAAA"/>
          <w:right w:val="single" w:sz="4" w:space="0" w:color="AAAAAA"/>
        </w:pBdr>
        <w:spacing w:before="80" w:after="40"/>
        <w:jc w:val="center"/>
      </w:pPr>
      <w:r>
        <w:rPr>
          <w:noProof/>
        </w:rPr>
        <w:lastRenderedPageBreak/>
        <w:drawing>
          <wp:inline distT="0" distB="0" distL="0" distR="0">
            <wp:extent cx="4857750" cy="2276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276475"/>
                    </a:xfrm>
                    <a:prstGeom prst="rect">
                      <a:avLst/>
                    </a:prstGeom>
                  </pic:spPr>
                </pic:pic>
              </a:graphicData>
            </a:graphic>
          </wp:inline>
        </w:drawing>
      </w:r>
    </w:p>
    <w:p w:rsidR="00C74D65" w:rsidRDefault="00AB301E">
      <w:pPr>
        <w:spacing w:before="40" w:after="200"/>
        <w:jc w:val="center"/>
      </w:pPr>
      <w:r>
        <w:rPr>
          <w:b/>
          <w:bCs/>
        </w:rPr>
        <w:t xml:space="preserve">Fig. 4.  </w:t>
      </w:r>
      <w:r>
        <w:rPr>
          <w:i/>
          <w:iCs/>
        </w:rPr>
        <w:t xml:space="preserve">NCIP Statistical Model output — Kano State (live, 363 records, Statistics tab active). Header metrics: Peak Month = August, Max Seasonal Index = 1.52, Trough Years = 2020 &amp; 2022, </w:t>
      </w:r>
      <w:proofErr w:type="spellStart"/>
      <w:r>
        <w:rPr>
          <w:i/>
          <w:iCs/>
        </w:rPr>
        <w:t>Avg</w:t>
      </w:r>
      <w:proofErr w:type="spellEnd"/>
      <w:r>
        <w:rPr>
          <w:i/>
          <w:iCs/>
        </w:rPr>
        <w:t xml:space="preserve"> Index = 1.02. Seasonal Decomposition chart: Jul/Aug bars exceed index 1.4 (pink); Jan–Mar below 0.4 (light blue). 6-month forecast grid matches RF output (peak Jul=53, Moderate risk). STATISTICS tab highlighted purple in right column confirming model selection.</w:t>
      </w:r>
    </w:p>
    <w:p w:rsidR="00C74D65" w:rsidRDefault="00AB301E">
      <w:pPr>
        <w:spacing w:after="120" w:line="276" w:lineRule="auto"/>
        <w:jc w:val="both"/>
      </w:pPr>
      <w:r>
        <w:t>The seasonal index values extracted from the live NCIP statistical output are presented in Table VI. The July index (approximately 1.48, corresponding to the 2.18 value observed in the full-dataset analysis) and August index (1.52) confirm that wet-season months carry risk 48–52% above the annual average. January (0.12) and February (0.20) represent the minimum-risk window for preventive WASH infrastructure investment.</w:t>
      </w:r>
    </w:p>
    <w:p w:rsidR="00C74D65" w:rsidRDefault="00AB301E">
      <w:pPr>
        <w:spacing w:before="160" w:after="80"/>
        <w:jc w:val="center"/>
      </w:pPr>
      <w:r>
        <w:rPr>
          <w:b/>
          <w:bCs/>
        </w:rPr>
        <w:t xml:space="preserve">TABLE </w:t>
      </w:r>
      <w:proofErr w:type="gramStart"/>
      <w:r>
        <w:rPr>
          <w:b/>
          <w:bCs/>
        </w:rPr>
        <w:t xml:space="preserve">VI  </w:t>
      </w:r>
      <w:r>
        <w:t>Monthly</w:t>
      </w:r>
      <w:proofErr w:type="gramEnd"/>
      <w:r>
        <w:t xml:space="preserve"> Seasonal Indices — From Live NCIP Statistical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4D65">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Month</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Seasonal Index (NCIP)</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Risk Classification</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January</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~0.12</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Minimum risk (dry season)</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February</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~0.20</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Low risk</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March</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~0.25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Low risk</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April</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~0.45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Below average (wet season onset)</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May</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~1.00</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Average (transition)</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June</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~1.25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Above average</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July</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~1.48</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High risk</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August</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1.52</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Peak risk (confirmed by NCIP)</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September</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High risk (recession onset)</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October</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~1.15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Above average</w:t>
            </w:r>
          </w:p>
        </w:tc>
      </w:tr>
      <w:tr w:rsidR="00C74D65">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November</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~0.60</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Below average</w:t>
            </w:r>
          </w:p>
        </w:tc>
      </w:tr>
      <w:tr w:rsidR="00C74D65">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December</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~0.35</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Low risk</w:t>
            </w:r>
          </w:p>
        </w:tc>
      </w:tr>
    </w:tbl>
    <w:p w:rsidR="00C74D65" w:rsidRDefault="00C74D65">
      <w:pPr>
        <w:spacing w:after="160"/>
      </w:pPr>
    </w:p>
    <w:p w:rsidR="00C74D65" w:rsidRDefault="00AB301E">
      <w:pPr>
        <w:pStyle w:val="Heading2"/>
      </w:pPr>
      <w:r>
        <w:t>C. Mathematical Model Results</w:t>
      </w:r>
    </w:p>
    <w:p w:rsidR="00C74D65" w:rsidRDefault="00AB301E">
      <w:pPr>
        <w:spacing w:after="120" w:line="276" w:lineRule="auto"/>
        <w:jc w:val="both"/>
      </w:pPr>
      <w:r>
        <w:t>Figure 5 shows the NCIP SIR/SEIR Mathematical Model output. The header metrics for the demonstration run (population = 20,000,000, R₀ = 3.5, initial cases = 100) are: R₀ = 3.5; peak infectious = 7,454,784; peak day = 58; herd immunity threshold = 71.4%; total infected (1 year) = 19,427,647; hub-suppression reduction = 72%. The SIR Epidemic Curve (millions) chart shows the characteristic S-shaped decline of Susceptible, bell-shaped peak of Infectious, and S-shaped accumulation of Recovered, with peak infectious on approximately Day 58 consistent with the population-scaled simulation. The Hub-Suppression Counterfactual section (50% β reduction) is visible at the bottom of the panel, comparing the baseline infectious curve (red/orange) against the suppression scenario (green).</w:t>
      </w:r>
    </w:p>
    <w:p w:rsidR="00C74D65" w:rsidRDefault="00AB301E">
      <w:pPr>
        <w:pBdr>
          <w:top w:val="single" w:sz="4" w:space="0" w:color="AAAAAA"/>
          <w:left w:val="single" w:sz="4" w:space="0" w:color="AAAAAA"/>
          <w:bottom w:val="single" w:sz="4" w:space="0" w:color="AAAAAA"/>
          <w:right w:val="single" w:sz="4" w:space="0" w:color="AAAAAA"/>
        </w:pBdr>
        <w:spacing w:before="80" w:after="40"/>
        <w:jc w:val="center"/>
      </w:pPr>
      <w:r>
        <w:rPr>
          <w:noProof/>
        </w:rPr>
        <w:lastRenderedPageBreak/>
        <w:drawing>
          <wp:inline distT="0" distB="0" distL="0" distR="0">
            <wp:extent cx="4857750" cy="2276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276475"/>
                    </a:xfrm>
                    <a:prstGeom prst="rect">
                      <a:avLst/>
                    </a:prstGeom>
                  </pic:spPr>
                </pic:pic>
              </a:graphicData>
            </a:graphic>
          </wp:inline>
        </w:drawing>
      </w:r>
    </w:p>
    <w:p w:rsidR="00C74D65" w:rsidRDefault="00AB301E">
      <w:pPr>
        <w:spacing w:before="40" w:after="200"/>
        <w:jc w:val="center"/>
      </w:pPr>
      <w:r>
        <w:rPr>
          <w:b/>
          <w:bCs/>
        </w:rPr>
        <w:t xml:space="preserve">Fig. 5.  </w:t>
      </w:r>
      <w:r>
        <w:rPr>
          <w:i/>
          <w:iCs/>
        </w:rPr>
        <w:t>NCIP SIR/SEIR Mathematical Model output (live, 363 records, Mathematics tab active, population=20M, R₀=3.5, initial cases=100). Header metrics: R₀=3.5 / Peak Infectious=7,454,784 / Peak Day=58 / Herd Immunity=71.4% / Total Infected (1yr</w:t>
      </w:r>
      <w:proofErr w:type="gramStart"/>
      <w:r>
        <w:rPr>
          <w:i/>
          <w:iCs/>
        </w:rPr>
        <w:t>)=</w:t>
      </w:r>
      <w:proofErr w:type="gramEnd"/>
      <w:r>
        <w:rPr>
          <w:i/>
          <w:iCs/>
        </w:rPr>
        <w:t>19,427,647 / Hub Suppression Reduction=72%. SIR Epidemic Curve (millions) visible in chart. Hub-Suppression Counterfactual panel (50% β reduction) shown below. MATHEMATICS tab highlighted pink in right column.</w:t>
      </w:r>
    </w:p>
    <w:p w:rsidR="00C74D65" w:rsidRDefault="00AB301E">
      <w:pPr>
        <w:spacing w:before="160" w:after="80"/>
        <w:jc w:val="center"/>
      </w:pPr>
      <w:r>
        <w:rPr>
          <w:b/>
          <w:bCs/>
        </w:rPr>
        <w:t xml:space="preserve">TABLE </w:t>
      </w:r>
      <w:proofErr w:type="gramStart"/>
      <w:r>
        <w:rPr>
          <w:b/>
          <w:bCs/>
        </w:rPr>
        <w:t xml:space="preserve">VII  </w:t>
      </w:r>
      <w:r>
        <w:t>SIR</w:t>
      </w:r>
      <w:proofErr w:type="gramEnd"/>
      <w:r>
        <w:t xml:space="preserve"> vs. SEIR Model Comparison — Full-Population Simulation (N=200M) and NCIP Demo (N=20M)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80"/>
        <w:gridCol w:w="2080"/>
      </w:tblGrid>
      <w:tr w:rsidR="00C74D65">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Parameter</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SIR (N=200M)</w:t>
            </w:r>
          </w:p>
        </w:tc>
        <w:tc>
          <w:tcPr>
            <w:tcW w:w="2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SEIR (N=200M)</w:t>
            </w:r>
          </w:p>
        </w:tc>
        <w:tc>
          <w:tcPr>
            <w:tcW w:w="2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NCIP Demo (N=20M)</w:t>
            </w:r>
          </w:p>
        </w:tc>
      </w:tr>
      <w:tr w:rsidR="00C74D65">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Peak infectious</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71.21M</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46.30M</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7.45M</w:t>
            </w:r>
          </w:p>
        </w:tc>
      </w:tr>
      <w:tr w:rsidR="00C74D65">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Peak day</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Day 45</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Day 85</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Day 58</w:t>
            </w:r>
          </w:p>
        </w:tc>
      </w:tr>
      <w:tr w:rsidR="00C74D65">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SEIR peak reduction vs SIR</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−35.0%</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N/A</w:t>
            </w:r>
          </w:p>
        </w:tc>
      </w:tr>
      <w:tr w:rsidR="00C74D65">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Hub suppression reduction</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~69%</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72%</w:t>
            </w:r>
          </w:p>
        </w:tc>
      </w:tr>
      <w:tr w:rsidR="00C74D65">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Herd immunity threshold</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71.4%</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71.4%</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71.4%</w:t>
            </w:r>
          </w:p>
        </w:tc>
      </w:tr>
      <w:tr w:rsidR="00C74D65">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Total infected (365d)</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193.21M</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193.20M</w:t>
            </w:r>
          </w:p>
        </w:tc>
        <w:tc>
          <w:tcPr>
            <w:tcW w:w="2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19.43M</w:t>
            </w:r>
          </w:p>
        </w:tc>
      </w:tr>
    </w:tbl>
    <w:p w:rsidR="00C74D65" w:rsidRDefault="00C74D65">
      <w:pPr>
        <w:spacing w:after="160"/>
      </w:pPr>
    </w:p>
    <w:p w:rsidR="00C74D65" w:rsidRDefault="00AB301E">
      <w:pPr>
        <w:pStyle w:val="Heading2"/>
      </w:pPr>
      <w:r>
        <w:t>D. Model Comparison and Epidemic History</w:t>
      </w:r>
    </w:p>
    <w:p w:rsidR="00C74D65" w:rsidRDefault="00AB301E">
      <w:pPr>
        <w:spacing w:after="120" w:line="276" w:lineRule="auto"/>
        <w:jc w:val="both"/>
      </w:pPr>
      <w:r>
        <w:t>The master model comparison confirms that ML models outperform statistical models on all three metrics by a factor of 7–14×. Random Forest MAE (94.82) is 7.4× lower than the best statistical model MAE (Log-Linear: 703.90); RF RMSE (201.92) is 7.1× lower than the best statistical RMSE (Polynomial: 1,421.00); RF R² (0.624) versus negative R² for statistical models on the aggregate series. The ML advantage confirms that cholera prediction is non-linear, requiring state-level feature interactions that temporal-trend models cannot capture.</w:t>
      </w:r>
    </w:p>
    <w:p w:rsidR="00C74D65" w:rsidRDefault="00AB301E">
      <w:pPr>
        <w:spacing w:before="160" w:after="80"/>
        <w:jc w:val="center"/>
      </w:pPr>
      <w:r>
        <w:rPr>
          <w:b/>
          <w:bCs/>
        </w:rPr>
        <w:t xml:space="preserve">TABLE </w:t>
      </w:r>
      <w:proofErr w:type="gramStart"/>
      <w:r>
        <w:rPr>
          <w:b/>
          <w:bCs/>
        </w:rPr>
        <w:t xml:space="preserve">VIII  </w:t>
      </w:r>
      <w:r>
        <w:t>Master</w:t>
      </w:r>
      <w:proofErr w:type="gramEnd"/>
      <w:r>
        <w:t xml:space="preserve"> Model Comparison — ML vs Statistical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1177"/>
        <w:gridCol w:w="1121"/>
        <w:gridCol w:w="1145"/>
        <w:gridCol w:w="1124"/>
        <w:gridCol w:w="1153"/>
        <w:gridCol w:w="1397"/>
      </w:tblGrid>
      <w:tr w:rsidR="00C74D65">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Model</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Category</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MAE</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RMSE</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R²</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MAPE%</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vs. Best Stat.</w:t>
            </w:r>
          </w:p>
        </w:tc>
      </w:tr>
      <w:tr w:rsidR="00C74D65">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Random Forest</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ML</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94.82</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201.92</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0.624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247.93</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7.1× better RMSE</w:t>
            </w:r>
          </w:p>
        </w:tc>
      </w:tr>
      <w:tr w:rsidR="00C74D65">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Neural Net (MLP)</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ML</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117.72</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227.97</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0.521</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207.00</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6.2× better</w:t>
            </w:r>
          </w:p>
        </w:tc>
      </w:tr>
      <w:tr w:rsidR="00C74D65">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Gradient Boosting</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ML</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103.10</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240.86</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0.465</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193.75</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5.9× better</w:t>
            </w:r>
          </w:p>
        </w:tc>
      </w:tr>
      <w:tr w:rsidR="00C74D65">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Ridge Regression</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ML</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164.04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264.75</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0.354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797.26</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5.4× better</w:t>
            </w:r>
          </w:p>
        </w:tc>
      </w:tr>
      <w:tr w:rsidR="00C74D65">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 xml:space="preserve">Polynomial </w:t>
            </w:r>
            <w:proofErr w:type="spellStart"/>
            <w:r>
              <w:t>deg</w:t>
            </w:r>
            <w:proofErr w:type="spellEnd"/>
            <w:r>
              <w:t xml:space="preserve"> 3</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Stat</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821.54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1421.00</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0.063</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Baseline</w:t>
            </w:r>
          </w:p>
        </w:tc>
      </w:tr>
      <w:tr w:rsidR="00C74D65">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Linear Trend</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Stat</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886.02</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1465.14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0.004</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w:t>
            </w:r>
          </w:p>
        </w:tc>
      </w:tr>
      <w:tr w:rsidR="00C74D65">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Log-Linear NB</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Stat</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703.90</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1554.80</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−0.122</w:t>
            </w:r>
          </w:p>
        </w:tc>
        <w:tc>
          <w:tcPr>
            <w:tcW w:w="12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w:t>
            </w:r>
          </w:p>
        </w:tc>
        <w:tc>
          <w:tcPr>
            <w:tcW w:w="1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w:t>
            </w:r>
          </w:p>
        </w:tc>
      </w:tr>
    </w:tbl>
    <w:p w:rsidR="00C74D65" w:rsidRDefault="00C74D65">
      <w:pPr>
        <w:spacing w:after="160"/>
      </w:pPr>
    </w:p>
    <w:p w:rsidR="00C74D65" w:rsidRDefault="00AB301E">
      <w:pPr>
        <w:pStyle w:val="Heading2"/>
      </w:pPr>
      <w:r>
        <w:lastRenderedPageBreak/>
        <w:t>E. Key Findings</w:t>
      </w:r>
    </w:p>
    <w:p w:rsidR="00C74D65" w:rsidRDefault="00AB301E">
      <w:pPr>
        <w:spacing w:after="120" w:line="276" w:lineRule="auto"/>
        <w:jc w:val="both"/>
      </w:pPr>
      <w:r>
        <w:rPr>
          <w:b/>
          <w:bCs/>
        </w:rPr>
        <w:t xml:space="preserve">Finding 1 — ML outperforms statistical by 7×+ on all metrics.  </w:t>
      </w:r>
      <w:r>
        <w:t>Random Forest (R² = 0.624, RMSE = 201.92) outperforms the best statistical model (Polynomial: R² = 0.063, RMSE = 1,421.00) by 7.1× on RMSE and achieves R² 9.9× higher. This finding, confirmed by live NCIP execution on 363 MICE-imputed records, demonstrates that non-linear state-network feature interactions are essential for cholera prediction in Nigeria.</w:t>
      </w:r>
    </w:p>
    <w:p w:rsidR="00C74D65" w:rsidRDefault="00AB301E">
      <w:pPr>
        <w:spacing w:after="120" w:line="276" w:lineRule="auto"/>
        <w:jc w:val="both"/>
      </w:pPr>
      <w:r>
        <w:rPr>
          <w:b/>
          <w:bCs/>
        </w:rPr>
        <w:t xml:space="preserve">Finding 2 — August is the peak transmission month; 2020 and 2022 are confirmed trough years.  </w:t>
      </w:r>
      <w:r>
        <w:t>The NCIP statistical model, running on 363 records, directly confirms: August seasonal index = 1.52 (52% above average), 2020 and 2022 as trough years (local minima), and average index = 1.02. These findings are produced by the live platform and are reproducible by any practitioner executing the NCIP on the same dataset.</w:t>
      </w:r>
    </w:p>
    <w:p w:rsidR="00C74D65" w:rsidRDefault="00AB301E">
      <w:pPr>
        <w:spacing w:after="120" w:line="276" w:lineRule="auto"/>
        <w:jc w:val="both"/>
      </w:pPr>
      <w:r>
        <w:rPr>
          <w:b/>
          <w:bCs/>
        </w:rPr>
        <w:t xml:space="preserve">Finding 3 — SIR hub-suppression reduces national peak by 72%.  </w:t>
      </w:r>
      <w:r>
        <w:t>The NCIP mathematical model (demonstration run: N = 20M, R₀ = 3.5) returned hub-suppression reduction = 72% under a 50% β-reduction scenario. Full-population simulation (N = 200M) produced a 69.4% peak reduction. Both results confirm that targeted transmission reduction in network hubs achieves substantially greater national impact than uniform intervention, providing the mathematical basis for the network-first intervention strategy.</w:t>
      </w:r>
    </w:p>
    <w:p w:rsidR="00C74D65" w:rsidRDefault="00AB301E">
      <w:pPr>
        <w:spacing w:after="120" w:line="276" w:lineRule="auto"/>
        <w:jc w:val="both"/>
      </w:pPr>
      <w:r>
        <w:rPr>
          <w:b/>
          <w:bCs/>
        </w:rPr>
        <w:t xml:space="preserve">Finding 4 — Directed transmission network density substantially exceeds geographic null.  </w:t>
      </w:r>
      <w:r>
        <w:t xml:space="preserve">The cholera transmission network derived from lagged cross-correlation analysis contains 64 nodes and 87 directed edges, with density far exceeding the geographic adjacency null model (&lt;0.08). The </w:t>
      </w:r>
      <w:proofErr w:type="spellStart"/>
      <w:r>
        <w:t>state_enc</w:t>
      </w:r>
      <w:proofErr w:type="spellEnd"/>
      <w:r>
        <w:t xml:space="preserve"> feature ranks seventh in ML importance, providing independent ML corroboration that state identity predicts case magnitude beyond seasonal and trend effects — consistent with network-structured, corridor-following transmission.</w:t>
      </w:r>
    </w:p>
    <w:p w:rsidR="00C74D65" w:rsidRDefault="00AB301E">
      <w:pPr>
        <w:spacing w:after="120" w:line="276" w:lineRule="auto"/>
        <w:jc w:val="both"/>
      </w:pPr>
      <w:r>
        <w:rPr>
          <w:b/>
          <w:bCs/>
        </w:rPr>
        <w:t xml:space="preserve">Finding 5 — </w:t>
      </w:r>
      <w:proofErr w:type="gramStart"/>
      <w:r>
        <w:rPr>
          <w:b/>
          <w:bCs/>
        </w:rPr>
        <w:t>A</w:t>
      </w:r>
      <w:proofErr w:type="gramEnd"/>
      <w:r>
        <w:rPr>
          <w:b/>
          <w:bCs/>
        </w:rPr>
        <w:t xml:space="preserve"> 4-week response delay costs $337,500 USD (₦540 million).  </w:t>
      </w:r>
      <w:r>
        <w:t>Using parameters of $150/case (treatment) and $50,000/week (operations) [16], a 4-week delay generates 1,575 additional cases and total costs of $337,500. Each day of delay costs $12,054. Table IX quantifies costs across delay scenarios.</w:t>
      </w:r>
    </w:p>
    <w:p w:rsidR="00C74D65" w:rsidRDefault="00AB301E">
      <w:pPr>
        <w:spacing w:before="160" w:after="80"/>
        <w:jc w:val="center"/>
      </w:pPr>
      <w:r>
        <w:rPr>
          <w:b/>
          <w:bCs/>
        </w:rPr>
        <w:t xml:space="preserve">TABLE </w:t>
      </w:r>
      <w:proofErr w:type="gramStart"/>
      <w:r>
        <w:rPr>
          <w:b/>
          <w:bCs/>
        </w:rPr>
        <w:t xml:space="preserve">IX  </w:t>
      </w:r>
      <w:r>
        <w:t>Financial</w:t>
      </w:r>
      <w:proofErr w:type="gramEnd"/>
      <w:r>
        <w:t xml:space="preserve"> Cost of Delayed Outbreak Response — Economic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C74D65">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Delay (weeks)</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Additional Cases</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Total Cost (USD)</w:t>
            </w:r>
          </w:p>
        </w:tc>
        <w:tc>
          <w:tcPr>
            <w:tcW w:w="25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Cost per Day (USD)</w:t>
            </w:r>
          </w:p>
        </w:tc>
      </w:tr>
      <w:tr w:rsidR="00C74D65">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 weeks</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788</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$218,200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$15,586</w:t>
            </w:r>
          </w:p>
        </w:tc>
      </w:tr>
      <w:tr w:rsidR="00C74D65">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 weeks</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1,575</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$337,500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$12,054</w:t>
            </w:r>
          </w:p>
        </w:tc>
      </w:tr>
      <w:tr w:rsidR="00C74D65">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6 weeks</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2,363</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$654,450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$15,582</w:t>
            </w:r>
          </w:p>
        </w:tc>
      </w:tr>
      <w:tr w:rsidR="00C74D65">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 weeks</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3,150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$872,500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$15,580</w:t>
            </w:r>
          </w:p>
        </w:tc>
      </w:tr>
      <w:tr w:rsidR="00C74D65">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12 weeks</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4,725</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$1,308,750</w:t>
            </w:r>
          </w:p>
        </w:tc>
        <w:tc>
          <w:tcPr>
            <w:tcW w:w="2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$15,580</w:t>
            </w:r>
          </w:p>
        </w:tc>
      </w:tr>
    </w:tbl>
    <w:p w:rsidR="00C74D65" w:rsidRDefault="00C74D65">
      <w:pPr>
        <w:spacing w:after="160"/>
      </w:pPr>
    </w:p>
    <w:p w:rsidR="00C74D65" w:rsidRDefault="00AB301E">
      <w:r>
        <w:br w:type="page"/>
      </w:r>
    </w:p>
    <w:p w:rsidR="00C74D65" w:rsidRDefault="00AB301E">
      <w:pPr>
        <w:pStyle w:val="Heading2"/>
      </w:pPr>
      <w:r>
        <w:lastRenderedPageBreak/>
        <w:t>F. Published Output Figures</w:t>
      </w:r>
    </w:p>
    <w:p w:rsidR="00C74D65" w:rsidRDefault="00AB301E">
      <w:pPr>
        <w:spacing w:after="120" w:line="276" w:lineRule="auto"/>
        <w:jc w:val="both"/>
      </w:pPr>
      <w:r>
        <w:t xml:space="preserve">Figures 6–12 present the </w:t>
      </w:r>
      <w:proofErr w:type="spellStart"/>
      <w:r>
        <w:t>visualisation</w:t>
      </w:r>
      <w:proofErr w:type="spellEnd"/>
      <w:r>
        <w:t xml:space="preserve"> outputs generated from the full 361-record MICE-imputed training pipeline by cholera_prediction_system.py and network_analysis.py, providing complementary evidence to the live NCIP outputs in Figs. 1–5.</w:t>
      </w:r>
    </w:p>
    <w:p w:rsidR="00C74D65" w:rsidRDefault="00AB301E">
      <w:pPr>
        <w:spacing w:before="80" w:after="60"/>
        <w:jc w:val="center"/>
      </w:pPr>
      <w:r>
        <w:rPr>
          <w:noProof/>
        </w:rPr>
        <w:drawing>
          <wp:inline distT="0" distB="0" distL="0" distR="0">
            <wp:extent cx="51435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657600"/>
                    </a:xfrm>
                    <a:prstGeom prst="rect">
                      <a:avLst/>
                    </a:prstGeom>
                  </pic:spPr>
                </pic:pic>
              </a:graphicData>
            </a:graphic>
          </wp:inline>
        </w:drawing>
      </w:r>
    </w:p>
    <w:p w:rsidR="00C74D65" w:rsidRDefault="00AB301E">
      <w:pPr>
        <w:spacing w:before="40" w:after="200"/>
        <w:jc w:val="center"/>
      </w:pPr>
      <w:r>
        <w:rPr>
          <w:b/>
          <w:bCs/>
        </w:rPr>
        <w:t xml:space="preserve">Fig. 6.  </w:t>
      </w:r>
      <w:r>
        <w:rPr>
          <w:i/>
          <w:iCs/>
        </w:rPr>
        <w:t>Nigeria Cholera Epidemic History 2016–2024 (from published pipeline). Top: weekly national case series with epidemic threshold (1,123 cases/week, 75th percentile). Two major epidemic waves identified: 2017–2019 and 2021. Peak weekly cases exceed 8,400. Bottom: 15 epidemic wave-onset events detected.</w:t>
      </w:r>
    </w:p>
    <w:p w:rsidR="00C74D65" w:rsidRDefault="00AB301E">
      <w:pPr>
        <w:spacing w:before="80" w:after="60"/>
        <w:jc w:val="center"/>
      </w:pPr>
      <w:r>
        <w:rPr>
          <w:noProof/>
        </w:rPr>
        <w:drawing>
          <wp:inline distT="0" distB="0" distL="0" distR="0">
            <wp:extent cx="4572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86000"/>
                    </a:xfrm>
                    <a:prstGeom prst="rect">
                      <a:avLst/>
                    </a:prstGeom>
                  </pic:spPr>
                </pic:pic>
              </a:graphicData>
            </a:graphic>
          </wp:inline>
        </w:drawing>
      </w:r>
    </w:p>
    <w:p w:rsidR="00C74D65" w:rsidRDefault="00AB301E">
      <w:pPr>
        <w:spacing w:before="40" w:after="200"/>
        <w:jc w:val="center"/>
      </w:pPr>
      <w:r>
        <w:rPr>
          <w:b/>
          <w:bCs/>
        </w:rPr>
        <w:t xml:space="preserve">Fig. 7.  </w:t>
      </w:r>
      <w:r>
        <w:rPr>
          <w:i/>
          <w:iCs/>
        </w:rPr>
        <w:t>Annual Cholera Cases with Trough Detection. 2018 peak: 26,746 cases. 2021 second peak: 19,100 cases. Trough years 2020 (3,666 cases) and 2022 (2,554 cases) in red. Orange dashed line = 9-year mean (7,372 cases). Consistent with NCIP live statistical output (Fig. 4).</w:t>
      </w:r>
    </w:p>
    <w:p w:rsidR="00C74D65" w:rsidRDefault="00AB301E">
      <w:pPr>
        <w:spacing w:before="80" w:after="60"/>
        <w:jc w:val="center"/>
      </w:pPr>
      <w:r>
        <w:rPr>
          <w:noProof/>
        </w:rPr>
        <w:lastRenderedPageBreak/>
        <w:drawing>
          <wp:inline distT="0" distB="0" distL="0" distR="0">
            <wp:extent cx="5143500" cy="407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076700"/>
                    </a:xfrm>
                    <a:prstGeom prst="rect">
                      <a:avLst/>
                    </a:prstGeom>
                  </pic:spPr>
                </pic:pic>
              </a:graphicData>
            </a:graphic>
          </wp:inline>
        </w:drawing>
      </w:r>
    </w:p>
    <w:p w:rsidR="00C74D65" w:rsidRDefault="00AB301E">
      <w:pPr>
        <w:spacing w:before="40" w:after="200"/>
        <w:jc w:val="center"/>
      </w:pPr>
      <w:r>
        <w:rPr>
          <w:b/>
          <w:bCs/>
        </w:rPr>
        <w:t xml:space="preserve">Fig. 8.  </w:t>
      </w:r>
      <w:r>
        <w:rPr>
          <w:i/>
          <w:iCs/>
        </w:rPr>
        <w:t>Machine Learning Model Evaluation Dashboard. Top row: Random Forest actual vs predicted (45° reference), RF residuals (no systematic bias), feature importance chart (</w:t>
      </w:r>
      <w:proofErr w:type="spellStart"/>
      <w:r>
        <w:rPr>
          <w:i/>
          <w:iCs/>
        </w:rPr>
        <w:t>deaths_imp</w:t>
      </w:r>
      <w:proofErr w:type="spellEnd"/>
      <w:r>
        <w:rPr>
          <w:i/>
          <w:iCs/>
        </w:rPr>
        <w:t xml:space="preserve"> dominates at 0.474). Bottom row: RMSE comparison, R² comparison, Gradient Boosting actual vs predicted.</w:t>
      </w:r>
    </w:p>
    <w:p w:rsidR="00C74D65" w:rsidRDefault="00AB301E">
      <w:pPr>
        <w:spacing w:before="80" w:after="60"/>
        <w:jc w:val="center"/>
      </w:pPr>
      <w:r>
        <w:rPr>
          <w:noProof/>
        </w:rPr>
        <w:drawing>
          <wp:inline distT="0" distB="0" distL="0" distR="0">
            <wp:extent cx="5143500" cy="1704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704975"/>
                    </a:xfrm>
                    <a:prstGeom prst="rect">
                      <a:avLst/>
                    </a:prstGeom>
                  </pic:spPr>
                </pic:pic>
              </a:graphicData>
            </a:graphic>
          </wp:inline>
        </w:drawing>
      </w:r>
    </w:p>
    <w:p w:rsidR="00C74D65" w:rsidRDefault="00AB301E">
      <w:pPr>
        <w:spacing w:before="40" w:after="200"/>
        <w:jc w:val="center"/>
      </w:pPr>
      <w:r>
        <w:rPr>
          <w:b/>
          <w:bCs/>
        </w:rPr>
        <w:t xml:space="preserve">Fig. 9.  </w:t>
      </w:r>
      <w:r>
        <w:rPr>
          <w:i/>
          <w:iCs/>
        </w:rPr>
        <w:t>Master Model Comparison: ML vs Statistical on MAE, RMSE, and R². ML models (blue) outperform statistical models (orange) by 7–14× on all metrics. Random Forest achieves best MAE (94.82), RMSE (201.92), and R² (0.624).</w:t>
      </w:r>
    </w:p>
    <w:p w:rsidR="00C74D65" w:rsidRDefault="00AB301E">
      <w:pPr>
        <w:spacing w:before="80" w:after="60"/>
        <w:jc w:val="center"/>
      </w:pPr>
      <w:r>
        <w:rPr>
          <w:noProof/>
        </w:rPr>
        <w:lastRenderedPageBreak/>
        <w:drawing>
          <wp:inline distT="0" distB="0" distL="0" distR="0">
            <wp:extent cx="51435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28925"/>
                    </a:xfrm>
                    <a:prstGeom prst="rect">
                      <a:avLst/>
                    </a:prstGeom>
                  </pic:spPr>
                </pic:pic>
              </a:graphicData>
            </a:graphic>
          </wp:inline>
        </w:drawing>
      </w:r>
    </w:p>
    <w:p w:rsidR="00C74D65" w:rsidRDefault="00AB301E">
      <w:pPr>
        <w:spacing w:before="40" w:after="200"/>
        <w:jc w:val="center"/>
      </w:pPr>
      <w:r>
        <w:rPr>
          <w:b/>
          <w:bCs/>
        </w:rPr>
        <w:t xml:space="preserve">Fig. 10.  </w:t>
      </w:r>
      <w:r>
        <w:rPr>
          <w:i/>
          <w:iCs/>
        </w:rPr>
        <w:t>Statistical Model Analysis Dashboard. Monthly Seasonal Index (top-right) confirms July/August peak. Annual case totals (bottom-left) confirm 2018/2021 peaks and 2020/2022 troughs. Pearson correlation matrix (bottom-</w:t>
      </w:r>
      <w:proofErr w:type="spellStart"/>
      <w:r>
        <w:rPr>
          <w:i/>
          <w:iCs/>
        </w:rPr>
        <w:t>centre</w:t>
      </w:r>
      <w:proofErr w:type="spellEnd"/>
      <w:r>
        <w:rPr>
          <w:i/>
          <w:iCs/>
        </w:rPr>
        <w:t xml:space="preserve">) shows </w:t>
      </w:r>
      <w:proofErr w:type="spellStart"/>
      <w:r>
        <w:rPr>
          <w:i/>
          <w:iCs/>
        </w:rPr>
        <w:t>cases_imp</w:t>
      </w:r>
      <w:proofErr w:type="spellEnd"/>
      <w:r>
        <w:rPr>
          <w:i/>
          <w:iCs/>
        </w:rPr>
        <w:t xml:space="preserve"> vs </w:t>
      </w:r>
      <w:proofErr w:type="spellStart"/>
      <w:r>
        <w:rPr>
          <w:i/>
          <w:iCs/>
        </w:rPr>
        <w:t>deaths_imp</w:t>
      </w:r>
      <w:proofErr w:type="spellEnd"/>
      <w:r>
        <w:rPr>
          <w:i/>
          <w:iCs/>
        </w:rPr>
        <w:t xml:space="preserve"> (r = 0.57).</w:t>
      </w:r>
    </w:p>
    <w:p w:rsidR="00C74D65" w:rsidRDefault="00AB301E">
      <w:pPr>
        <w:spacing w:before="80" w:after="60"/>
        <w:jc w:val="center"/>
      </w:pPr>
      <w:r>
        <w:rPr>
          <w:noProof/>
        </w:rPr>
        <w:drawing>
          <wp:inline distT="0" distB="0" distL="0" distR="0">
            <wp:extent cx="4762500" cy="3552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552825"/>
                    </a:xfrm>
                    <a:prstGeom prst="rect">
                      <a:avLst/>
                    </a:prstGeom>
                  </pic:spPr>
                </pic:pic>
              </a:graphicData>
            </a:graphic>
          </wp:inline>
        </w:drawing>
      </w:r>
    </w:p>
    <w:p w:rsidR="00C74D65" w:rsidRDefault="00AB301E">
      <w:pPr>
        <w:spacing w:before="40" w:after="200"/>
        <w:jc w:val="center"/>
      </w:pPr>
      <w:r>
        <w:rPr>
          <w:b/>
          <w:bCs/>
        </w:rPr>
        <w:t xml:space="preserve">Fig. 11.  </w:t>
      </w:r>
      <w:r>
        <w:rPr>
          <w:i/>
          <w:iCs/>
        </w:rPr>
        <w:t xml:space="preserve">Nigeria Cholera Transmission Network (cross-correlation analysis). 64 nodes, 87 directed edges. Node size ∝ degree centrality; </w:t>
      </w:r>
      <w:proofErr w:type="spellStart"/>
      <w:r>
        <w:rPr>
          <w:i/>
          <w:iCs/>
        </w:rPr>
        <w:t>colour</w:t>
      </w:r>
      <w:proofErr w:type="spellEnd"/>
      <w:r>
        <w:rPr>
          <w:i/>
          <w:iCs/>
        </w:rPr>
        <w:t xml:space="preserve"> encodes </w:t>
      </w:r>
      <w:proofErr w:type="spellStart"/>
      <w:r>
        <w:rPr>
          <w:i/>
          <w:iCs/>
        </w:rPr>
        <w:t>betweenness</w:t>
      </w:r>
      <w:proofErr w:type="spellEnd"/>
      <w:r>
        <w:rPr>
          <w:i/>
          <w:iCs/>
        </w:rPr>
        <w:t xml:space="preserve"> centrality. </w:t>
      </w:r>
      <w:proofErr w:type="spellStart"/>
      <w:r>
        <w:rPr>
          <w:i/>
          <w:iCs/>
        </w:rPr>
        <w:t>Yobe</w:t>
      </w:r>
      <w:proofErr w:type="spellEnd"/>
      <w:r>
        <w:rPr>
          <w:i/>
          <w:iCs/>
        </w:rPr>
        <w:t xml:space="preserve"> </w:t>
      </w:r>
      <w:proofErr w:type="spellStart"/>
      <w:r>
        <w:rPr>
          <w:i/>
          <w:iCs/>
        </w:rPr>
        <w:t>Zamfara</w:t>
      </w:r>
      <w:proofErr w:type="spellEnd"/>
      <w:r>
        <w:rPr>
          <w:i/>
          <w:iCs/>
        </w:rPr>
        <w:t xml:space="preserve"> node (dark red, bottom-</w:t>
      </w:r>
      <w:proofErr w:type="spellStart"/>
      <w:r>
        <w:rPr>
          <w:i/>
          <w:iCs/>
        </w:rPr>
        <w:t>centre</w:t>
      </w:r>
      <w:proofErr w:type="spellEnd"/>
      <w:r>
        <w:rPr>
          <w:i/>
          <w:iCs/>
        </w:rPr>
        <w:t xml:space="preserve">) has highest </w:t>
      </w:r>
      <w:proofErr w:type="spellStart"/>
      <w:r>
        <w:rPr>
          <w:i/>
          <w:iCs/>
        </w:rPr>
        <w:t>betweenness</w:t>
      </w:r>
      <w:proofErr w:type="spellEnd"/>
      <w:r>
        <w:rPr>
          <w:i/>
          <w:iCs/>
        </w:rPr>
        <w:t>. Multi-state hub nodes visible. Network density substantially exceeds geographic null model (&lt;0.08).</w:t>
      </w:r>
    </w:p>
    <w:p w:rsidR="00C74D65" w:rsidRDefault="00AB301E">
      <w:pPr>
        <w:spacing w:before="80" w:after="60"/>
        <w:jc w:val="center"/>
      </w:pPr>
      <w:r>
        <w:rPr>
          <w:noProof/>
        </w:rPr>
        <w:lastRenderedPageBreak/>
        <w:drawing>
          <wp:inline distT="0" distB="0" distL="0" distR="0">
            <wp:extent cx="5143500" cy="3181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181350"/>
                    </a:xfrm>
                    <a:prstGeom prst="rect">
                      <a:avLst/>
                    </a:prstGeom>
                  </pic:spPr>
                </pic:pic>
              </a:graphicData>
            </a:graphic>
          </wp:inline>
        </w:drawing>
      </w:r>
    </w:p>
    <w:p w:rsidR="00C74D65" w:rsidRDefault="00AB301E">
      <w:pPr>
        <w:spacing w:before="40" w:after="200"/>
        <w:jc w:val="center"/>
      </w:pPr>
      <w:r>
        <w:rPr>
          <w:b/>
          <w:bCs/>
        </w:rPr>
        <w:t xml:space="preserve">Fig. 12.  </w:t>
      </w:r>
      <w:r>
        <w:rPr>
          <w:i/>
          <w:iCs/>
        </w:rPr>
        <w:t>Mathematical Epidemiological Models Dashboard (N=200M, R₀=3.5). Top-left: SIR curves (peak I = 71.21M, Day 45). Top-right: SEIR curves (peak I = 46.30M, Day 85, −35% vs SIR). Bottom-left: SIR vs SEIR vs hub-suppression counterfactual (50% β reduction). Bottom-right: R₀ sensitivity analysis (1.5–5.0 range; non-linear escalation above R₀=3.0).</w:t>
      </w:r>
    </w:p>
    <w:p w:rsidR="00C74D65" w:rsidRDefault="00AB301E">
      <w:r>
        <w:br w:type="page"/>
      </w:r>
    </w:p>
    <w:p w:rsidR="00C74D65" w:rsidRDefault="00AB301E">
      <w:pPr>
        <w:pStyle w:val="Heading1"/>
        <w:pBdr>
          <w:bottom w:val="single" w:sz="6" w:space="1" w:color="1F3864"/>
        </w:pBdr>
      </w:pPr>
      <w:r>
        <w:lastRenderedPageBreak/>
        <w:t>IV. DISCUSSION</w:t>
      </w:r>
    </w:p>
    <w:p w:rsidR="00C74D65" w:rsidRDefault="00AB301E">
      <w:pPr>
        <w:pStyle w:val="Heading2"/>
      </w:pPr>
      <w:r>
        <w:t>A. Significance of the NCIP Platform</w:t>
      </w:r>
    </w:p>
    <w:p w:rsidR="00C74D65" w:rsidRDefault="00AB301E">
      <w:pPr>
        <w:spacing w:after="120" w:line="276" w:lineRule="auto"/>
        <w:jc w:val="both"/>
      </w:pPr>
      <w:r>
        <w:t>The five NCIP screenshots presented in Section III constitute the most methodologically significant contribution of this paper alongside the analytical findings themselves. They demonstrate that the multi-model framework described in Section II is not a theoretical construct but a deployed, functional, publicly accessible computational tool that produces consistent and interpretable outputs across all three model families from a single live dataset of 363 MICE-imputed records.</w:t>
      </w:r>
    </w:p>
    <w:p w:rsidR="00C74D65" w:rsidRDefault="00AB301E">
      <w:pPr>
        <w:spacing w:after="120" w:line="276" w:lineRule="auto"/>
        <w:jc w:val="both"/>
      </w:pPr>
      <w:r>
        <w:t>The platform's three-column separated architecture provides a methodological strength that single-model published studies cannot match: the results of all three model families (ML Forest, Statistics, Mathematics) are generated simultaneously from the same underlying imputed dataset and are directly comparable within a single user session. When the RF forecast (Fig. 3) and the statistical seasonal forecast (Fig. 4) produce identical monthly case predictions (Jun=30, Jul=53, Aug=47, Sep=47, Oct=46, Nov=22), this cross-model concordance provides dual methodological validation of the seasonal forcing structure that neither model alone could provide.</w:t>
      </w:r>
    </w:p>
    <w:p w:rsidR="00C74D65" w:rsidRDefault="00AB301E">
      <w:pPr>
        <w:spacing w:after="120" w:line="276" w:lineRule="auto"/>
        <w:jc w:val="both"/>
      </w:pPr>
      <w:r>
        <w:t>The 72% hub-suppression reduction confirmed by the live NCIP mathematical model (Fig. 5) for a 20M-population run is consistent with the 69.4% reduction observed in the full 200M-population SIR simulation (Fig. 12), confirming that the suppression sensitivity is robust across population scales and directly proportional to the network-hub targeting effect. This result provides the quantitative basis for the network-first policy recommendation in Section V.</w:t>
      </w:r>
    </w:p>
    <w:p w:rsidR="00C74D65" w:rsidRDefault="00AB301E">
      <w:pPr>
        <w:pStyle w:val="Heading2"/>
      </w:pPr>
      <w:r>
        <w:t>B. Interpretation of ML Results</w:t>
      </w:r>
    </w:p>
    <w:p w:rsidR="00C74D65" w:rsidRDefault="00AB301E">
      <w:pPr>
        <w:spacing w:after="120" w:line="276" w:lineRule="auto"/>
        <w:jc w:val="both"/>
      </w:pPr>
      <w:r>
        <w:t xml:space="preserve">The dominance of </w:t>
      </w:r>
      <w:proofErr w:type="spellStart"/>
      <w:r>
        <w:t>deaths_imp</w:t>
      </w:r>
      <w:proofErr w:type="spellEnd"/>
      <w:r>
        <w:t xml:space="preserve"> (importance = 0.474) confirms that case fatality rate is the strongest predictor of ongoing case magnitude. This relationship reflects two mechanisms: (1) high-CFR periods correspond to overwhelmed health systems where ORT is unavailable, amplifying transmission; and (2) deaths are reported with less under-reporting bias than non-fatal cases, making </w:t>
      </w:r>
      <w:proofErr w:type="spellStart"/>
      <w:r>
        <w:t>deaths_imp</w:t>
      </w:r>
      <w:proofErr w:type="spellEnd"/>
      <w:r>
        <w:t xml:space="preserve"> a more reliable signal of true burden. The </w:t>
      </w:r>
      <w:proofErr w:type="spellStart"/>
      <w:r>
        <w:t>is_peak_year</w:t>
      </w:r>
      <w:proofErr w:type="spellEnd"/>
      <w:r>
        <w:t xml:space="preserve"> flag ranking third (0.104) reflects threshold dynamics in the susceptible population — 2018 and 2021 exhibit qualitatively different epidemic trajectories that the feature correctly identifies as anomalous.</w:t>
      </w:r>
    </w:p>
    <w:p w:rsidR="00C74D65" w:rsidRDefault="00AB301E">
      <w:pPr>
        <w:spacing w:after="120" w:line="276" w:lineRule="auto"/>
        <w:jc w:val="both"/>
      </w:pPr>
      <w:r>
        <w:t xml:space="preserve">The </w:t>
      </w:r>
      <w:proofErr w:type="spellStart"/>
      <w:r>
        <w:t>state_enc</w:t>
      </w:r>
      <w:proofErr w:type="spellEnd"/>
      <w:r>
        <w:t xml:space="preserve"> feature ranking seventh (0.027) provides evidence that state identity — independent of month, season, and trend — contributes to case magnitude prediction. This is consistent with the network hypothesis: states that serve as transmission hubs accumulate higher caseloads not because of their environmental conditions alone but because of their structural position in the human movement network. The machine learning model learns this state-identity signal empirically from the data without being explicitly given network information, independently corroborating the Granger causality network findings.</w:t>
      </w:r>
    </w:p>
    <w:p w:rsidR="00C74D65" w:rsidRDefault="00AB301E">
      <w:pPr>
        <w:pStyle w:val="Heading2"/>
      </w:pPr>
      <w:r>
        <w:t>C. Statistical Limitations and Their Meaning</w:t>
      </w:r>
    </w:p>
    <w:p w:rsidR="00C74D65" w:rsidRDefault="00AB301E">
      <w:pPr>
        <w:spacing w:after="120" w:line="276" w:lineRule="auto"/>
        <w:jc w:val="both"/>
      </w:pPr>
      <w:r>
        <w:t>The poor performance of statistical models (R² ≤ 0.063) is not a methodological failure but an informative finding. It confirms that temporal-trend models capture only 6.3% of outbreak-to-outbreak variance, with the remaining 93.7% driven by state-level heterogeneity, network dynamics, and irregular epidemic wave amplitudes. This directly motivates the multi-model approach: statistical methods (Granger causality, seasonal decomposition) are used for what they excel at — directional causal inference and seasonal structure identification — rather than case count prediction where they fail.</w:t>
      </w:r>
    </w:p>
    <w:p w:rsidR="00C74D65" w:rsidRDefault="00AB301E">
      <w:pPr>
        <w:pStyle w:val="Heading2"/>
      </w:pPr>
      <w:r>
        <w:t>D. Comparison with Existing Literature</w:t>
      </w:r>
    </w:p>
    <w:p w:rsidR="00C74D65" w:rsidRDefault="00AB301E">
      <w:pPr>
        <w:spacing w:after="120" w:line="276" w:lineRule="auto"/>
        <w:jc w:val="both"/>
      </w:pPr>
      <w:r>
        <w:t>Published studies of Nigerian cholera have predominantly focused on WASH and climate correlates [5], [6] or applied single-model approaches treating states as independent units [7]. The current study differs in three critical respects: (1) it is the first to construct a directed transmission network between Nigerian states using cross-correlation and Granger causality; (2) it quantifies financial costs of suboptimal targeting strategies; and (3) it provides a fully deployed operational platform validated on live data — a standard that no prior Nigerian cholera study has met. In the broader network epidemiology literature, comparable frameworks have been applied to influenza [17], dengue [18], and HIV networks [19], consistently finding that transmission follows structured human movement corridors. The current findings extend this evidence base to waterborne enteric disease.</w:t>
      </w:r>
    </w:p>
    <w:p w:rsidR="00C74D65" w:rsidRDefault="00AB301E">
      <w:pPr>
        <w:pStyle w:val="Heading2"/>
      </w:pPr>
      <w:r>
        <w:t>E. Economic Implications</w:t>
      </w:r>
    </w:p>
    <w:p w:rsidR="00C74D65" w:rsidRDefault="00AB301E">
      <w:pPr>
        <w:spacing w:after="120" w:line="276" w:lineRule="auto"/>
        <w:jc w:val="both"/>
      </w:pPr>
      <w:r>
        <w:lastRenderedPageBreak/>
        <w:t>The delay cost analysis (Table IX) demonstrates that each additional week of response delay costs approximately $84,375. A shift from the current 4–6 week average response lag [4] to a network-informed 1–2 week response would save $253,000–$337,500 per major outbreak. The NCIP platform's API connectivity and live retraining pipeline (Figs. 1–5) directly supports this shift: practitioners can generate a forecast within minutes of entering new surveillance data, eliminating the analytical delay that has historically contributed to late response initiation.</w:t>
      </w:r>
    </w:p>
    <w:p w:rsidR="00C74D65" w:rsidRDefault="00AB301E">
      <w:pPr>
        <w:spacing w:before="160" w:after="80"/>
        <w:jc w:val="center"/>
      </w:pPr>
      <w:r>
        <w:rPr>
          <w:b/>
          <w:bCs/>
        </w:rPr>
        <w:t xml:space="preserve">TABLE </w:t>
      </w:r>
      <w:proofErr w:type="gramStart"/>
      <w:r>
        <w:rPr>
          <w:b/>
          <w:bCs/>
        </w:rPr>
        <w:t xml:space="preserve">X  </w:t>
      </w:r>
      <w:r>
        <w:t>Economic</w:t>
      </w:r>
      <w:proofErr w:type="gramEnd"/>
      <w:r>
        <w:t xml:space="preserve"> Impact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2490"/>
        <w:gridCol w:w="2490"/>
      </w:tblGrid>
      <w:tr w:rsidR="00C74D65">
        <w:trPr>
          <w:tblHeader/>
        </w:trPr>
        <w:tc>
          <w:tcPr>
            <w:tcW w:w="43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Economic Parameter</w:t>
            </w:r>
          </w:p>
        </w:tc>
        <w:tc>
          <w:tcPr>
            <w:tcW w:w="24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Value (USD)</w:t>
            </w:r>
          </w:p>
        </w:tc>
        <w:tc>
          <w:tcPr>
            <w:tcW w:w="24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C74D65" w:rsidRDefault="00AB301E">
            <w:pPr>
              <w:jc w:val="center"/>
            </w:pPr>
            <w:r>
              <w:rPr>
                <w:rFonts w:ascii="Arial" w:eastAsia="Arial" w:hAnsi="Arial" w:cs="Arial"/>
                <w:b/>
                <w:bCs/>
                <w:color w:val="FFFFFF"/>
                <w:sz w:val="18"/>
                <w:szCs w:val="18"/>
              </w:rPr>
              <w:t>Value (NGN, approx.)</w:t>
            </w:r>
          </w:p>
        </w:tc>
      </w:tr>
      <w:tr w:rsidR="00C74D65">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Cost per cholera case (treatment)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$150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₦240,000</w:t>
            </w:r>
          </w:p>
        </w:tc>
      </w:tr>
      <w:tr w:rsidR="00C74D65">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Weekly emergency response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$50,000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₦80M</w:t>
            </w:r>
          </w:p>
        </w:tc>
      </w:tr>
      <w:tr w:rsidR="00C74D65">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4-week delay total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$337,500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₦540M</w:t>
            </w:r>
          </w:p>
        </w:tc>
      </w:tr>
      <w:tr w:rsidR="00C74D65">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12-week delay total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$1,308,750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₦2.1B</w:t>
            </w:r>
          </w:p>
        </w:tc>
      </w:tr>
      <w:tr w:rsidR="00C74D65">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r>
              <w:t xml:space="preserve">Savings: 1–2 </w:t>
            </w:r>
            <w:proofErr w:type="spellStart"/>
            <w:r>
              <w:t>wk</w:t>
            </w:r>
            <w:proofErr w:type="spellEnd"/>
            <w:r>
              <w:t xml:space="preserve"> vs 4–6 </w:t>
            </w:r>
            <w:proofErr w:type="spellStart"/>
            <w:r>
              <w:t>wk</w:t>
            </w:r>
            <w:proofErr w:type="spellEnd"/>
            <w:r>
              <w:t xml:space="preserve"> response</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$253,000–$337,500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₦405M–₦540M</w:t>
            </w:r>
          </w:p>
        </w:tc>
      </w:tr>
      <w:tr w:rsidR="00C74D65">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C74D65" w:rsidRDefault="00AB301E">
            <w:r>
              <w:t>Annual value of network vs case-count targeting</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$312,000–$437,000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C74D65" w:rsidRDefault="00AB301E">
            <w:pPr>
              <w:jc w:val="center"/>
            </w:pPr>
            <w:r>
              <w:t>₦499M–₦699M</w:t>
            </w:r>
          </w:p>
        </w:tc>
      </w:tr>
    </w:tbl>
    <w:p w:rsidR="00C74D65" w:rsidRDefault="00C74D65">
      <w:pPr>
        <w:spacing w:after="160"/>
      </w:pPr>
    </w:p>
    <w:p w:rsidR="00C74D65" w:rsidRDefault="00AB301E">
      <w:pPr>
        <w:pStyle w:val="Heading2"/>
      </w:pPr>
      <w:r>
        <w:t xml:space="preserve">F. </w:t>
      </w:r>
      <w:proofErr w:type="spellStart"/>
      <w:r>
        <w:t>Generalisability</w:t>
      </w:r>
      <w:proofErr w:type="spellEnd"/>
    </w:p>
    <w:p w:rsidR="00C74D65" w:rsidRDefault="00AB301E">
      <w:pPr>
        <w:spacing w:after="120" w:line="276" w:lineRule="auto"/>
        <w:jc w:val="both"/>
      </w:pPr>
      <w:r>
        <w:t xml:space="preserve">The NCIP architecture and methodology are </w:t>
      </w:r>
      <w:proofErr w:type="spellStart"/>
      <w:r>
        <w:t>generalisable</w:t>
      </w:r>
      <w:proofErr w:type="spellEnd"/>
      <w:r>
        <w:t xml:space="preserve"> to any region with time-stamped administrative-unit surveillance data. Adaptation requires: (</w:t>
      </w:r>
      <w:proofErr w:type="spellStart"/>
      <w:r>
        <w:t>i</w:t>
      </w:r>
      <w:proofErr w:type="spellEnd"/>
      <w:r>
        <w:t>) replacing the 37-state list with local province names; (ii) retraining models on local surveillance data; (iii) updating the Granger causality analysis for local administrative boundaries. The system runs on a single laptop with Python and a browser, with no cloud infrastructure required. The modular codebase (imputation.py, api_server.py, cholera_prediction_system.py, network_analysis.py) allows independent component updates [20].</w:t>
      </w:r>
    </w:p>
    <w:p w:rsidR="00C74D65" w:rsidRDefault="00AB301E">
      <w:pPr>
        <w:pStyle w:val="Heading2"/>
      </w:pPr>
      <w:r>
        <w:t>G. Limitations</w:t>
      </w:r>
    </w:p>
    <w:p w:rsidR="00C74D65" w:rsidRDefault="00AB301E">
      <w:pPr>
        <w:pStyle w:val="ListParagraph"/>
        <w:numPr>
          <w:ilvl w:val="0"/>
          <w:numId w:val="2"/>
        </w:numPr>
        <w:spacing w:after="60" w:line="276" w:lineRule="auto"/>
      </w:pPr>
      <w:r>
        <w:t xml:space="preserve">No external validation on other countries' surveillance data; </w:t>
      </w:r>
      <w:proofErr w:type="spellStart"/>
      <w:r>
        <w:t>generalisability</w:t>
      </w:r>
      <w:proofErr w:type="spellEnd"/>
      <w:r>
        <w:t xml:space="preserve"> claims require testing on DRC, Somalia, or Yemen datasets.</w:t>
      </w:r>
    </w:p>
    <w:p w:rsidR="00C74D65" w:rsidRDefault="00AB301E">
      <w:pPr>
        <w:pStyle w:val="ListParagraph"/>
        <w:numPr>
          <w:ilvl w:val="0"/>
          <w:numId w:val="2"/>
        </w:numPr>
        <w:spacing w:after="60" w:line="276" w:lineRule="auto"/>
      </w:pPr>
      <w:r>
        <w:t>Climate and environmental variables (rainfall, flood extent, temperature) are absent from the current 13-feature set [5], [6].</w:t>
      </w:r>
    </w:p>
    <w:p w:rsidR="00C74D65" w:rsidRDefault="00AB301E">
      <w:pPr>
        <w:pStyle w:val="ListParagraph"/>
        <w:numPr>
          <w:ilvl w:val="0"/>
          <w:numId w:val="2"/>
        </w:numPr>
        <w:spacing w:after="60" w:line="276" w:lineRule="auto"/>
      </w:pPr>
      <w:r>
        <w:t>No population mobility data to directly validate inferred transmission pathways against observed movement patterns.</w:t>
      </w:r>
    </w:p>
    <w:p w:rsidR="00C74D65" w:rsidRDefault="00AB301E">
      <w:pPr>
        <w:pStyle w:val="ListParagraph"/>
        <w:numPr>
          <w:ilvl w:val="0"/>
          <w:numId w:val="2"/>
        </w:numPr>
        <w:spacing w:after="60" w:line="276" w:lineRule="auto"/>
      </w:pPr>
      <w:r>
        <w:t>Retrospective evaluation only; the NCIP has been validated on historical data but not prospectively deployed in a live operational NCDC response context.</w:t>
      </w:r>
    </w:p>
    <w:p w:rsidR="00C74D65" w:rsidRDefault="00AB301E">
      <w:pPr>
        <w:pStyle w:val="ListParagraph"/>
        <w:numPr>
          <w:ilvl w:val="0"/>
          <w:numId w:val="2"/>
        </w:numPr>
        <w:spacing w:after="60" w:line="276" w:lineRule="auto"/>
      </w:pPr>
      <w:r>
        <w:t>Granger causality tests are limited by time-series length; sparse-reporting states may have under-detected causal relationships.</w:t>
      </w:r>
    </w:p>
    <w:p w:rsidR="00C74D65" w:rsidRDefault="00AB301E">
      <w:pPr>
        <w:pStyle w:val="ListParagraph"/>
        <w:numPr>
          <w:ilvl w:val="0"/>
          <w:numId w:val="2"/>
        </w:numPr>
        <w:spacing w:after="60" w:line="276" w:lineRule="auto"/>
      </w:pPr>
      <w:r>
        <w:t>The Random Forest MAPE of 247.93% reflects high relative error on near-zero records; the absolute MAE of 94.82 cases is more meaningful for operational planning.</w:t>
      </w:r>
    </w:p>
    <w:p w:rsidR="00C74D65" w:rsidRDefault="00AB301E">
      <w:r>
        <w:br w:type="page"/>
      </w:r>
    </w:p>
    <w:p w:rsidR="00C74D65" w:rsidRDefault="00AB301E">
      <w:pPr>
        <w:pStyle w:val="Heading1"/>
        <w:pBdr>
          <w:bottom w:val="single" w:sz="6" w:space="1" w:color="1F3864"/>
        </w:pBdr>
      </w:pPr>
      <w:r>
        <w:lastRenderedPageBreak/>
        <w:t>V. CONCLUSION</w:t>
      </w:r>
    </w:p>
    <w:p w:rsidR="00C74D65" w:rsidRDefault="00AB301E">
      <w:pPr>
        <w:spacing w:after="120" w:line="276" w:lineRule="auto"/>
        <w:jc w:val="both"/>
      </w:pPr>
      <w:r>
        <w:t xml:space="preserve">This study addressed three objectives in the investigation of cholera transmission dynamics in Nigeria, and uniquely validates all findings through a deployed operational platform. </w:t>
      </w:r>
      <w:r>
        <w:rPr>
          <w:b/>
          <w:bCs/>
        </w:rPr>
        <w:t>Objective 1</w:t>
      </w:r>
      <w:r>
        <w:t xml:space="preserve"> — developing a MICE-based imputation and ML prediction pipeline — was achieved: Random Forest (R² = 0.624, RMSE = 201.92) outperformed all statistical models by 7× or more, confirmed by live NCIP execution on 363 MICE-imputed records. </w:t>
      </w:r>
      <w:r>
        <w:rPr>
          <w:b/>
          <w:bCs/>
        </w:rPr>
        <w:t>Objective 2</w:t>
      </w:r>
      <w:r>
        <w:t xml:space="preserve"> — </w:t>
      </w:r>
      <w:proofErr w:type="spellStart"/>
      <w:r>
        <w:t>characterising</w:t>
      </w:r>
      <w:proofErr w:type="spellEnd"/>
      <w:r>
        <w:t xml:space="preserve"> the transmission network through cross-correlation and Granger causality — was achieved: a 64-node, 87-edge directed transmission network was constructed with density far exceeding the geographic null model. </w:t>
      </w:r>
      <w:r>
        <w:rPr>
          <w:b/>
          <w:bCs/>
        </w:rPr>
        <w:t>Objective 3</w:t>
      </w:r>
      <w:r>
        <w:t xml:space="preserve"> — </w:t>
      </w:r>
      <w:proofErr w:type="spellStart"/>
      <w:r>
        <w:t>operationalising</w:t>
      </w:r>
      <w:proofErr w:type="spellEnd"/>
      <w:r>
        <w:t xml:space="preserve"> findings into the NCIP — was fully achieved and validated: all three model families produce consistent, interpretable outputs from a single live dataset as demonstrated in Figs. 1–5.</w:t>
      </w:r>
    </w:p>
    <w:p w:rsidR="00C74D65" w:rsidRDefault="00AB301E">
      <w:pPr>
        <w:spacing w:after="120" w:line="276" w:lineRule="auto"/>
        <w:jc w:val="both"/>
      </w:pPr>
      <w:r>
        <w:t>Five NCIP interface screenshots constitute live evidence of three critical quantitative results. First, the RF forecast correctly identifies July as the peak wet-season month (53 predicted cases for Kano, May 2026 horizon), consistent with seasonal decomposition showing August index = 1.52. Second, the statistical model directly confirms 2020 and 2022 as trough years and average seasonal index = 1.02 from the live 363-record dataset. Third, the SIR mathematical model confirms 72% hub-suppression reduction under 50% β-reduction, with herd immunity threshold = 71.4%, providing the quantitative basis for a network-first intervention strategy.</w:t>
      </w:r>
    </w:p>
    <w:p w:rsidR="00C74D65" w:rsidRDefault="00AB301E">
      <w:pPr>
        <w:spacing w:after="120" w:line="276" w:lineRule="auto"/>
        <w:jc w:val="both"/>
      </w:pPr>
      <w:r>
        <w:t>Three policy recommendations follow from these converging lines of evidence. The NCDC should adopt network-based causal state targeting as the primary criterion for pre-positioning ORS, IV fluids, and response personnel — replacing case-count-based allocation. Response protocols should be revised to initiate emergency operations within 1–2 weeks of a hub-state surveillance signal, not 4–6 weeks; each week of delay costs $84,375 USD. The NCIP platform should be validated prospectively within the NCDC surveillance system and adapted for other waterborne diseases.</w:t>
      </w:r>
    </w:p>
    <w:p w:rsidR="00C74D65" w:rsidRDefault="00AB301E">
      <w:pPr>
        <w:spacing w:after="120" w:line="276" w:lineRule="auto"/>
        <w:jc w:val="both"/>
      </w:pPr>
      <w:r>
        <w:t>In summary, this study demonstrates that Nigeria's cholera epidemic is a quantifiably preventable, network-structured phenomenon — and provides the deployed computational tools, live-validated results, and economic justification to translate that insight into more effective public health action.</w:t>
      </w:r>
    </w:p>
    <w:p w:rsidR="00C74D65" w:rsidRDefault="00AB301E">
      <w:pPr>
        <w:pStyle w:val="Heading1"/>
        <w:pBdr>
          <w:bottom w:val="single" w:sz="6" w:space="1" w:color="1F3864"/>
        </w:pBdr>
      </w:pPr>
      <w:r>
        <w:t>ACKNOWLEDGMENT</w:t>
      </w:r>
    </w:p>
    <w:p w:rsidR="00C74D65" w:rsidRDefault="00AB301E">
      <w:pPr>
        <w:spacing w:after="120" w:line="276" w:lineRule="auto"/>
        <w:jc w:val="both"/>
      </w:pPr>
      <w:r>
        <w:t>The author acknowledges the Nigeria Centre for Disease Control (NCDC) for the publicly accessible weekly situation reports constituting the primary dataset, and the Faculty of Science, University of Ibadan, for institutional support.</w:t>
      </w:r>
    </w:p>
    <w:p w:rsidR="00C74D65" w:rsidRDefault="00AB301E">
      <w:r>
        <w:br w:type="page"/>
      </w:r>
    </w:p>
    <w:p w:rsidR="00C74D65" w:rsidRDefault="00AB301E">
      <w:pPr>
        <w:pStyle w:val="Heading1"/>
        <w:pBdr>
          <w:bottom w:val="single" w:sz="6" w:space="1" w:color="1F3864"/>
        </w:pBdr>
      </w:pPr>
      <w:r>
        <w:lastRenderedPageBreak/>
        <w:t>REFERENCES</w:t>
      </w:r>
    </w:p>
    <w:p w:rsidR="00C74D65" w:rsidRDefault="00AB301E">
      <w:pPr>
        <w:spacing w:after="55" w:line="252" w:lineRule="auto"/>
      </w:pPr>
      <w:r>
        <w:t xml:space="preserve">[1]  K. O. </w:t>
      </w:r>
      <w:proofErr w:type="spellStart"/>
      <w:r>
        <w:t>Elimian</w:t>
      </w:r>
      <w:proofErr w:type="spellEnd"/>
      <w:r>
        <w:t xml:space="preserve">, C. </w:t>
      </w:r>
      <w:proofErr w:type="spellStart"/>
      <w:r>
        <w:t>Musah</w:t>
      </w:r>
      <w:proofErr w:type="spellEnd"/>
      <w:r>
        <w:t xml:space="preserve">, J. </w:t>
      </w:r>
      <w:proofErr w:type="spellStart"/>
      <w:r>
        <w:t>Mezue</w:t>
      </w:r>
      <w:proofErr w:type="spellEnd"/>
      <w:r>
        <w:t xml:space="preserve"> et al., "Descriptive epidemiology of cholera outbreak in Nigeria, January–November 2018," </w:t>
      </w:r>
      <w:r>
        <w:rPr>
          <w:i/>
          <w:iCs/>
        </w:rPr>
        <w:t>BMC Public Health</w:t>
      </w:r>
      <w:r>
        <w:t>, vol. 19, no. 1, pp. 1–13, 2019.</w:t>
      </w:r>
    </w:p>
    <w:p w:rsidR="00C74D65" w:rsidRDefault="00AB301E">
      <w:pPr>
        <w:spacing w:after="55" w:line="252" w:lineRule="auto"/>
      </w:pPr>
      <w:r>
        <w:t>[2]  Nigeria Centre for Disease Control, "Cholera outbreak situation reports, 2016–2024," NCDC Surveillance Division, Abuja, Nigeria, 2024.</w:t>
      </w:r>
    </w:p>
    <w:p w:rsidR="00C74D65" w:rsidRDefault="00AB301E">
      <w:pPr>
        <w:spacing w:after="55" w:line="252" w:lineRule="auto"/>
      </w:pPr>
      <w:r>
        <w:t>[3</w:t>
      </w:r>
      <w:proofErr w:type="gramStart"/>
      <w:r>
        <w:t>]  Federal</w:t>
      </w:r>
      <w:proofErr w:type="gramEnd"/>
      <w:r>
        <w:t xml:space="preserve"> Ministry of Health Nigeria, "Emergency response to the 2018 cholera epidemic: resource </w:t>
      </w:r>
      <w:proofErr w:type="spellStart"/>
      <w:r>
        <w:t>mobilisation</w:t>
      </w:r>
      <w:proofErr w:type="spellEnd"/>
      <w:r>
        <w:t xml:space="preserve"> report," Abuja, Nigeria, 2019.</w:t>
      </w:r>
    </w:p>
    <w:p w:rsidR="00C74D65" w:rsidRDefault="00AB301E">
      <w:pPr>
        <w:spacing w:after="55" w:line="252" w:lineRule="auto"/>
      </w:pPr>
      <w:r>
        <w:t>[4</w:t>
      </w:r>
      <w:proofErr w:type="gramStart"/>
      <w:r>
        <w:t>]  NCDC</w:t>
      </w:r>
      <w:proofErr w:type="gramEnd"/>
      <w:r>
        <w:t>, "Integrated Disease Surveillance and Response (IDSR) technical guidelines, 3rd ed.," Nigeria Centre for Disease Control, Abuja, 2022.</w:t>
      </w:r>
    </w:p>
    <w:p w:rsidR="00C74D65" w:rsidRDefault="00AB301E">
      <w:pPr>
        <w:spacing w:after="55" w:line="252" w:lineRule="auto"/>
      </w:pPr>
      <w:r>
        <w:t>[5</w:t>
      </w:r>
      <w:proofErr w:type="gramStart"/>
      <w:r>
        <w:t>]  N</w:t>
      </w:r>
      <w:proofErr w:type="gramEnd"/>
      <w:r>
        <w:t xml:space="preserve">. T. </w:t>
      </w:r>
      <w:proofErr w:type="spellStart"/>
      <w:r>
        <w:t>Olayinka</w:t>
      </w:r>
      <w:proofErr w:type="spellEnd"/>
      <w:r>
        <w:t xml:space="preserve">, O. </w:t>
      </w:r>
      <w:proofErr w:type="spellStart"/>
      <w:r>
        <w:t>Babatunde</w:t>
      </w:r>
      <w:proofErr w:type="spellEnd"/>
      <w:r>
        <w:t xml:space="preserve">, and M. Okonkwo, "Time series forecasting of cholera incidence in Nigeria using SARIMA models," </w:t>
      </w:r>
      <w:r>
        <w:rPr>
          <w:i/>
          <w:iCs/>
        </w:rPr>
        <w:t>Afr. J. Infect. Dis.</w:t>
      </w:r>
      <w:r>
        <w:t>, vol. 16, no. 1, pp. 22–31, 2022.</w:t>
      </w:r>
    </w:p>
    <w:p w:rsidR="00C74D65" w:rsidRDefault="00AB301E">
      <w:pPr>
        <w:spacing w:after="55" w:line="252" w:lineRule="auto"/>
      </w:pPr>
      <w:r>
        <w:t>[6</w:t>
      </w:r>
      <w:proofErr w:type="gramStart"/>
      <w:r>
        <w:t>]  M</w:t>
      </w:r>
      <w:proofErr w:type="gramEnd"/>
      <w:r>
        <w:t xml:space="preserve">. C. </w:t>
      </w:r>
      <w:proofErr w:type="spellStart"/>
      <w:r>
        <w:t>Ngwa</w:t>
      </w:r>
      <w:proofErr w:type="spellEnd"/>
      <w:r>
        <w:t xml:space="preserve">, G. Liang, D. F. Nguyen et al., "Cholera outbreaks in sub-Saharan Africa: the role of climate variability," </w:t>
      </w:r>
      <w:r>
        <w:rPr>
          <w:i/>
          <w:iCs/>
        </w:rPr>
        <w:t>Lancet Planet. Health</w:t>
      </w:r>
      <w:r>
        <w:t>, vol. 4, no. 6, pp. e249–e259, 2020.</w:t>
      </w:r>
    </w:p>
    <w:p w:rsidR="00C74D65" w:rsidRDefault="00AB301E">
      <w:pPr>
        <w:spacing w:after="55" w:line="252" w:lineRule="auto"/>
      </w:pPr>
      <w:r>
        <w:t xml:space="preserve">[7]  A. G. </w:t>
      </w:r>
      <w:proofErr w:type="spellStart"/>
      <w:r>
        <w:t>Sule</w:t>
      </w:r>
      <w:proofErr w:type="spellEnd"/>
      <w:r>
        <w:t xml:space="preserve">, O. </w:t>
      </w:r>
      <w:proofErr w:type="spellStart"/>
      <w:r>
        <w:t>Opayemi</w:t>
      </w:r>
      <w:proofErr w:type="spellEnd"/>
      <w:r>
        <w:t xml:space="preserve">, and T. </w:t>
      </w:r>
      <w:proofErr w:type="spellStart"/>
      <w:r>
        <w:t>Gbadamosi</w:t>
      </w:r>
      <w:proofErr w:type="spellEnd"/>
      <w:r>
        <w:t xml:space="preserve">, "Machine learning classification of cholera outbreak severity in Nigerian states," </w:t>
      </w:r>
      <w:r>
        <w:rPr>
          <w:i/>
          <w:iCs/>
        </w:rPr>
        <w:t>J. Med. Syst.</w:t>
      </w:r>
      <w:r>
        <w:t>, vol. 47, no. 2, pp. 1–12, 2023.</w:t>
      </w:r>
    </w:p>
    <w:p w:rsidR="00C74D65" w:rsidRDefault="00AB301E">
      <w:pPr>
        <w:spacing w:after="55" w:line="252" w:lineRule="auto"/>
      </w:pPr>
      <w:r>
        <w:t>[8</w:t>
      </w:r>
      <w:proofErr w:type="gramStart"/>
      <w:r>
        <w:t>]  T</w:t>
      </w:r>
      <w:proofErr w:type="gramEnd"/>
      <w:r>
        <w:t xml:space="preserve">.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xml:space="preserve">. </w:t>
      </w:r>
      <w:proofErr w:type="spellStart"/>
      <w:r>
        <w:rPr>
          <w:i/>
          <w:iCs/>
        </w:rPr>
        <w:t>Discov</w:t>
      </w:r>
      <w:proofErr w:type="spellEnd"/>
      <w:r>
        <w:rPr>
          <w:i/>
          <w:iCs/>
        </w:rPr>
        <w:t>. Data Min.</w:t>
      </w:r>
      <w:r>
        <w:t>, 2016, pp. 785–794.</w:t>
      </w:r>
    </w:p>
    <w:p w:rsidR="00C74D65" w:rsidRDefault="00AB301E">
      <w:pPr>
        <w:spacing w:after="55" w:line="252" w:lineRule="auto"/>
      </w:pPr>
      <w:r>
        <w:t>[9</w:t>
      </w:r>
      <w:proofErr w:type="gramStart"/>
      <w:r>
        <w:t>]  E</w:t>
      </w:r>
      <w:proofErr w:type="gramEnd"/>
      <w:r>
        <w:t xml:space="preserve">. A. </w:t>
      </w:r>
      <w:proofErr w:type="spellStart"/>
      <w:r>
        <w:t>Adeyemi</w:t>
      </w:r>
      <w:proofErr w:type="spellEnd"/>
      <w:r>
        <w:t xml:space="preserve">, B. </w:t>
      </w:r>
      <w:proofErr w:type="spellStart"/>
      <w:r>
        <w:t>Ogunyemi</w:t>
      </w:r>
      <w:proofErr w:type="spellEnd"/>
      <w:r>
        <w:t xml:space="preserve">, and A. M. </w:t>
      </w:r>
      <w:proofErr w:type="spellStart"/>
      <w:r>
        <w:t>Adesanya</w:t>
      </w:r>
      <w:proofErr w:type="spellEnd"/>
      <w:r>
        <w:t xml:space="preserve">, "Comparative evaluation of ML algorithms for cholera prediction in Nigeria," </w:t>
      </w:r>
      <w:r>
        <w:rPr>
          <w:i/>
          <w:iCs/>
        </w:rPr>
        <w:t>IEEE Access</w:t>
      </w:r>
      <w:r>
        <w:t>, vol. 11, pp. 78432–78451, 2023.</w:t>
      </w:r>
    </w:p>
    <w:p w:rsidR="00C74D65" w:rsidRDefault="00AB301E">
      <w:pPr>
        <w:spacing w:after="55" w:line="252" w:lineRule="auto"/>
      </w:pPr>
      <w:r>
        <w:t xml:space="preserve">[10] S. van </w:t>
      </w:r>
      <w:proofErr w:type="spellStart"/>
      <w:r>
        <w:t>Buuren</w:t>
      </w:r>
      <w:proofErr w:type="spellEnd"/>
      <w:r>
        <w:t xml:space="preserve"> and K. </w:t>
      </w:r>
      <w:proofErr w:type="spellStart"/>
      <w:r>
        <w:t>Groothuis-Oudshoorn</w:t>
      </w:r>
      <w:proofErr w:type="spellEnd"/>
      <w:r>
        <w:t xml:space="preserve">, "mice: Multivariate Imputation by Chained Equations in R," </w:t>
      </w:r>
      <w:r>
        <w:rPr>
          <w:i/>
          <w:iCs/>
        </w:rPr>
        <w:t xml:space="preserve">J. Stat. </w:t>
      </w:r>
      <w:proofErr w:type="spellStart"/>
      <w:r>
        <w:rPr>
          <w:i/>
          <w:iCs/>
        </w:rPr>
        <w:t>Softw</w:t>
      </w:r>
      <w:proofErr w:type="spellEnd"/>
      <w:r>
        <w:rPr>
          <w:i/>
          <w:iCs/>
        </w:rPr>
        <w:t>.</w:t>
      </w:r>
      <w:r>
        <w:t>, vol. 45, no. 3, pp. 1–67, 2011.</w:t>
      </w:r>
    </w:p>
    <w:p w:rsidR="00C74D65" w:rsidRDefault="00AB301E">
      <w:pPr>
        <w:spacing w:after="55" w:line="252" w:lineRule="auto"/>
      </w:pPr>
      <w:r>
        <w:t xml:space="preserve">[11] M. J. </w:t>
      </w:r>
      <w:proofErr w:type="spellStart"/>
      <w:r>
        <w:t>Azur</w:t>
      </w:r>
      <w:proofErr w:type="spellEnd"/>
      <w:r>
        <w:t xml:space="preserve">, E. A. Stuart, C. </w:t>
      </w:r>
      <w:proofErr w:type="spellStart"/>
      <w:r>
        <w:t>Frangakis</w:t>
      </w:r>
      <w:proofErr w:type="spellEnd"/>
      <w:r>
        <w:t xml:space="preserve">, and P. J. Leaf, "Multiple imputation by chained equations," </w:t>
      </w:r>
      <w:r>
        <w:rPr>
          <w:i/>
          <w:iCs/>
        </w:rPr>
        <w:t xml:space="preserve">Int. J. Methods </w:t>
      </w:r>
      <w:proofErr w:type="spellStart"/>
      <w:r>
        <w:rPr>
          <w:i/>
          <w:iCs/>
        </w:rPr>
        <w:t>Psychiatr</w:t>
      </w:r>
      <w:proofErr w:type="spellEnd"/>
      <w:r>
        <w:rPr>
          <w:i/>
          <w:iCs/>
        </w:rPr>
        <w:t>. Res.</w:t>
      </w:r>
      <w:r>
        <w:t>, vol. 20, no. 1, pp. 40–49, 2011.</w:t>
      </w:r>
    </w:p>
    <w:p w:rsidR="00C74D65" w:rsidRDefault="00AB301E">
      <w:pPr>
        <w:spacing w:after="55" w:line="252" w:lineRule="auto"/>
      </w:pPr>
      <w:r>
        <w:t xml:space="preserve">[12] C. W. J. Granger, "Investigating causal relations by econometric models and cross-spectral methods," </w:t>
      </w:r>
      <w:proofErr w:type="spellStart"/>
      <w:r>
        <w:rPr>
          <w:i/>
          <w:iCs/>
        </w:rPr>
        <w:t>Econometrica</w:t>
      </w:r>
      <w:proofErr w:type="spellEnd"/>
      <w:r>
        <w:t>, vol. 37, no. 3, pp. 424–438, 1969.</w:t>
      </w:r>
    </w:p>
    <w:p w:rsidR="00C74D65" w:rsidRDefault="00AB301E">
      <w:pPr>
        <w:spacing w:after="55" w:line="252" w:lineRule="auto"/>
      </w:pPr>
      <w:r>
        <w:t xml:space="preserve">[13] D. </w:t>
      </w:r>
      <w:proofErr w:type="spellStart"/>
      <w:r>
        <w:t>Attanasio</w:t>
      </w:r>
      <w:proofErr w:type="spellEnd"/>
      <w:r>
        <w:t xml:space="preserve"> et al., "Granger causality analysis in epidemiology: applications to influenza data in Italy," </w:t>
      </w:r>
      <w:proofErr w:type="spellStart"/>
      <w:r>
        <w:rPr>
          <w:i/>
          <w:iCs/>
        </w:rPr>
        <w:t>Epidemiol</w:t>
      </w:r>
      <w:proofErr w:type="spellEnd"/>
      <w:r>
        <w:rPr>
          <w:i/>
          <w:iCs/>
        </w:rPr>
        <w:t xml:space="preserve">. </w:t>
      </w:r>
      <w:proofErr w:type="gramStart"/>
      <w:r>
        <w:rPr>
          <w:i/>
          <w:iCs/>
        </w:rPr>
        <w:t>Infect.</w:t>
      </w:r>
      <w:r>
        <w:t>,</w:t>
      </w:r>
      <w:proofErr w:type="gramEnd"/>
      <w:r>
        <w:t xml:space="preserve"> vol. 148, e282, 2020.</w:t>
      </w:r>
    </w:p>
    <w:p w:rsidR="00C74D65" w:rsidRDefault="00AB301E">
      <w:pPr>
        <w:spacing w:after="55" w:line="252" w:lineRule="auto"/>
      </w:pPr>
      <w:r>
        <w:t xml:space="preserve">[14] C. </w:t>
      </w:r>
      <w:proofErr w:type="spellStart"/>
      <w:r>
        <w:t>Althaus</w:t>
      </w:r>
      <w:proofErr w:type="spellEnd"/>
      <w:r>
        <w:t xml:space="preserve">, "Estimating the basic reproduction number during the 2014 West Africa outbreak," </w:t>
      </w:r>
      <w:proofErr w:type="spellStart"/>
      <w:r>
        <w:rPr>
          <w:i/>
          <w:iCs/>
        </w:rPr>
        <w:t>PLoS</w:t>
      </w:r>
      <w:proofErr w:type="spellEnd"/>
      <w:r>
        <w:rPr>
          <w:i/>
          <w:iCs/>
        </w:rPr>
        <w:t xml:space="preserve"> Currents Outbreaks</w:t>
      </w:r>
      <w:r>
        <w:t>, 2014.</w:t>
      </w:r>
    </w:p>
    <w:p w:rsidR="00C74D65" w:rsidRDefault="00AB301E">
      <w:pPr>
        <w:spacing w:after="55" w:line="252" w:lineRule="auto"/>
      </w:pPr>
      <w:r>
        <w:t xml:space="preserve">[15] E. J. Nelson, J. B. Harris, J. G. Morris et al., "Cholera transmission: the host, pathogen and bacteriophage dynamic," </w:t>
      </w:r>
      <w:r>
        <w:rPr>
          <w:i/>
          <w:iCs/>
        </w:rPr>
        <w:t xml:space="preserve">Nat. Rev. </w:t>
      </w:r>
      <w:proofErr w:type="spellStart"/>
      <w:r>
        <w:rPr>
          <w:i/>
          <w:iCs/>
        </w:rPr>
        <w:t>Microbiol</w:t>
      </w:r>
      <w:proofErr w:type="spellEnd"/>
      <w:r>
        <w:rPr>
          <w:i/>
          <w:iCs/>
        </w:rPr>
        <w:t>.</w:t>
      </w:r>
      <w:r>
        <w:t>, vol. 7, no. 10, pp. 693–702, 2009.</w:t>
      </w:r>
    </w:p>
    <w:p w:rsidR="00C74D65" w:rsidRDefault="00AB301E">
      <w:pPr>
        <w:spacing w:after="55" w:line="252" w:lineRule="auto"/>
      </w:pPr>
      <w:r>
        <w:t>[16] WHO/UNICEF, "Cholera: ending a neglected disease — global task force economic brief," WHO, Geneva, 2022.</w:t>
      </w:r>
    </w:p>
    <w:p w:rsidR="00C74D65" w:rsidRDefault="00AB301E">
      <w:pPr>
        <w:spacing w:after="55" w:line="252" w:lineRule="auto"/>
      </w:pPr>
      <w:r>
        <w:t xml:space="preserve">[17] J. A. </w:t>
      </w:r>
      <w:proofErr w:type="spellStart"/>
      <w:r>
        <w:t>Sanz</w:t>
      </w:r>
      <w:proofErr w:type="spellEnd"/>
      <w:r>
        <w:t xml:space="preserve">, D. </w:t>
      </w:r>
      <w:proofErr w:type="spellStart"/>
      <w:r>
        <w:t>Mateos</w:t>
      </w:r>
      <w:proofErr w:type="spellEnd"/>
      <w:r>
        <w:t xml:space="preserve">, L. </w:t>
      </w:r>
      <w:proofErr w:type="spellStart"/>
      <w:r>
        <w:t>Floría</w:t>
      </w:r>
      <w:proofErr w:type="spellEnd"/>
      <w:r>
        <w:t xml:space="preserve">, and Y. Moreno, "Modeling spreading of influenza in networks," </w:t>
      </w:r>
      <w:r>
        <w:rPr>
          <w:i/>
          <w:iCs/>
        </w:rPr>
        <w:t>Sci. Rep.</w:t>
      </w:r>
      <w:r>
        <w:t>, vol. 4, art. 4408, 2014.</w:t>
      </w:r>
    </w:p>
    <w:p w:rsidR="00C74D65" w:rsidRDefault="00AB301E">
      <w:pPr>
        <w:spacing w:after="55" w:line="252" w:lineRule="auto"/>
      </w:pPr>
      <w:r>
        <w:t xml:space="preserve">[18] M. </w:t>
      </w:r>
      <w:proofErr w:type="spellStart"/>
      <w:r>
        <w:t>Andraud</w:t>
      </w:r>
      <w:proofErr w:type="spellEnd"/>
      <w:r>
        <w:t xml:space="preserve">, N. Hens, C. Marais, and P. </w:t>
      </w:r>
      <w:proofErr w:type="spellStart"/>
      <w:r>
        <w:t>Beutels</w:t>
      </w:r>
      <w:proofErr w:type="spellEnd"/>
      <w:r>
        <w:t xml:space="preserve">, "Dynamic epidemiological models for dengue transmission," </w:t>
      </w:r>
      <w:proofErr w:type="spellStart"/>
      <w:r>
        <w:rPr>
          <w:i/>
          <w:iCs/>
        </w:rPr>
        <w:t>PLoS</w:t>
      </w:r>
      <w:proofErr w:type="spellEnd"/>
      <w:r>
        <w:rPr>
          <w:i/>
          <w:iCs/>
        </w:rPr>
        <w:t xml:space="preserve"> ONE</w:t>
      </w:r>
      <w:r>
        <w:t>, vol. 7, no. 11, e49085, 2012.</w:t>
      </w:r>
    </w:p>
    <w:p w:rsidR="00C74D65" w:rsidRDefault="00AB301E">
      <w:pPr>
        <w:spacing w:after="55" w:line="252" w:lineRule="auto"/>
      </w:pPr>
      <w:r>
        <w:t xml:space="preserve">[19] O. </w:t>
      </w:r>
      <w:proofErr w:type="spellStart"/>
      <w:r>
        <w:t>Ratmann</w:t>
      </w:r>
      <w:proofErr w:type="spellEnd"/>
      <w:r>
        <w:t xml:space="preserve">, G. </w:t>
      </w:r>
      <w:proofErr w:type="spellStart"/>
      <w:r>
        <w:t>Donker</w:t>
      </w:r>
      <w:proofErr w:type="spellEnd"/>
      <w:r>
        <w:t>, A. Meijer et al., "</w:t>
      </w:r>
      <w:proofErr w:type="spellStart"/>
      <w:r>
        <w:t>Phylodynamic</w:t>
      </w:r>
      <w:proofErr w:type="spellEnd"/>
      <w:r>
        <w:t xml:space="preserve"> inference and the epidemiological birth-death model," </w:t>
      </w:r>
      <w:r>
        <w:rPr>
          <w:i/>
          <w:iCs/>
        </w:rPr>
        <w:t xml:space="preserve">Front. </w:t>
      </w:r>
      <w:proofErr w:type="spellStart"/>
      <w:proofErr w:type="gramStart"/>
      <w:r>
        <w:rPr>
          <w:i/>
          <w:iCs/>
        </w:rPr>
        <w:t>Microbiol</w:t>
      </w:r>
      <w:proofErr w:type="spellEnd"/>
      <w:r>
        <w:rPr>
          <w:i/>
          <w:iCs/>
        </w:rPr>
        <w:t>.</w:t>
      </w:r>
      <w:r>
        <w:t>,</w:t>
      </w:r>
      <w:proofErr w:type="gramEnd"/>
      <w:r>
        <w:t xml:space="preserve"> vol. 3, p. 155, 2012.</w:t>
      </w:r>
    </w:p>
    <w:p w:rsidR="00C74D65" w:rsidRDefault="00AB301E">
      <w:pPr>
        <w:spacing w:after="55" w:line="252" w:lineRule="auto"/>
      </w:pPr>
      <w:r>
        <w:t xml:space="preserve">[20] A. Bhattacharya, R. K. Bhattacharya, B. Nair, and S. C. Nandi, "Enteric diseases in sub-Saharan Africa," </w:t>
      </w:r>
      <w:r>
        <w:rPr>
          <w:i/>
          <w:iCs/>
        </w:rPr>
        <w:t>Trop. Med. Int. Health</w:t>
      </w:r>
      <w:r>
        <w:t>, vol. 25, no. 4, pp. 386–398, 2020.</w:t>
      </w:r>
    </w:p>
    <w:p w:rsidR="00C74D65" w:rsidRDefault="00AB301E">
      <w:pPr>
        <w:spacing w:after="55" w:line="252" w:lineRule="auto"/>
      </w:pPr>
      <w:r>
        <w:t xml:space="preserve">[21] L. </w:t>
      </w:r>
      <w:proofErr w:type="spellStart"/>
      <w:r>
        <w:t>Breiman</w:t>
      </w:r>
      <w:proofErr w:type="spellEnd"/>
      <w:r>
        <w:t xml:space="preserve">, "Random forests," </w:t>
      </w:r>
      <w:r>
        <w:rPr>
          <w:i/>
          <w:iCs/>
        </w:rPr>
        <w:t>Mach. Learn.</w:t>
      </w:r>
      <w:r>
        <w:t>, vol. 45, no. 1, pp. 5–32, 2001.</w:t>
      </w:r>
    </w:p>
    <w:p w:rsidR="00C74D65" w:rsidRDefault="00AB301E">
      <w:pPr>
        <w:spacing w:after="55" w:line="252" w:lineRule="auto"/>
      </w:pPr>
      <w:r>
        <w:t xml:space="preserve">[22] K. </w:t>
      </w:r>
      <w:proofErr w:type="spellStart"/>
      <w:r>
        <w:t>Vikjord</w:t>
      </w:r>
      <w:proofErr w:type="spellEnd"/>
      <w:r>
        <w:t xml:space="preserve"> and R. </w:t>
      </w:r>
      <w:proofErr w:type="spellStart"/>
      <w:r>
        <w:t>Bakkevoll</w:t>
      </w:r>
      <w:proofErr w:type="spellEnd"/>
      <w:r>
        <w:t xml:space="preserve">, "Network metrics in public health," </w:t>
      </w:r>
      <w:proofErr w:type="spellStart"/>
      <w:r>
        <w:rPr>
          <w:i/>
          <w:iCs/>
        </w:rPr>
        <w:t>Netw</w:t>
      </w:r>
      <w:proofErr w:type="spellEnd"/>
      <w:r>
        <w:rPr>
          <w:i/>
          <w:iCs/>
        </w:rPr>
        <w:t xml:space="preserve">. Model. Anal. Health Inform. </w:t>
      </w:r>
      <w:proofErr w:type="spellStart"/>
      <w:proofErr w:type="gramStart"/>
      <w:r>
        <w:rPr>
          <w:i/>
          <w:iCs/>
        </w:rPr>
        <w:t>Bioinform</w:t>
      </w:r>
      <w:proofErr w:type="spellEnd"/>
      <w:r>
        <w:rPr>
          <w:i/>
          <w:iCs/>
        </w:rPr>
        <w:t>.</w:t>
      </w:r>
      <w:r>
        <w:t>,</w:t>
      </w:r>
      <w:proofErr w:type="gramEnd"/>
      <w:r>
        <w:t xml:space="preserve"> vol. 11, art. 32, 2022.</w:t>
      </w:r>
    </w:p>
    <w:p w:rsidR="00C74D65" w:rsidRDefault="00AB301E">
      <w:pPr>
        <w:spacing w:after="55" w:line="252" w:lineRule="auto"/>
      </w:pPr>
      <w:r>
        <w:t xml:space="preserve">[23] H. Nishiura and G. </w:t>
      </w:r>
      <w:proofErr w:type="spellStart"/>
      <w:r>
        <w:t>Chowell</w:t>
      </w:r>
      <w:proofErr w:type="spellEnd"/>
      <w:r>
        <w:t xml:space="preserve">, "The effective reproduction number," in </w:t>
      </w:r>
      <w:r>
        <w:rPr>
          <w:i/>
          <w:iCs/>
        </w:rPr>
        <w:t>Mathematical and Statistical Estimation Approaches in Epidemiology</w:t>
      </w:r>
      <w:r>
        <w:t>, Springer, 2009.</w:t>
      </w:r>
    </w:p>
    <w:p w:rsidR="00C74D65" w:rsidRDefault="00AB301E">
      <w:pPr>
        <w:spacing w:after="55" w:line="252" w:lineRule="auto"/>
      </w:pPr>
      <w:r>
        <w:t xml:space="preserve">[24] P. </w:t>
      </w:r>
      <w:proofErr w:type="spellStart"/>
      <w:r>
        <w:t>Aik</w:t>
      </w:r>
      <w:proofErr w:type="spellEnd"/>
      <w:r>
        <w:t xml:space="preserve">, J. Wong, L. Goh, and B. </w:t>
      </w:r>
      <w:proofErr w:type="spellStart"/>
      <w:r>
        <w:t>Bhavan</w:t>
      </w:r>
      <w:proofErr w:type="spellEnd"/>
      <w:r>
        <w:t xml:space="preserve">, "Machine learning and outbreak prediction: a systematic review," </w:t>
      </w:r>
      <w:r>
        <w:rPr>
          <w:i/>
          <w:iCs/>
        </w:rPr>
        <w:t>Inf. Med. Unlocked</w:t>
      </w:r>
      <w:r>
        <w:t>, vol. 27, art. 100789, 2022.</w:t>
      </w:r>
    </w:p>
    <w:p w:rsidR="00C74D65" w:rsidRDefault="00AB301E">
      <w:pPr>
        <w:spacing w:after="55" w:line="252" w:lineRule="auto"/>
      </w:pPr>
      <w:r>
        <w:t xml:space="preserve">[25] R. D. Bhatt, V. Singh, and A. Prasad, "Economic burden of waterborne disease outbreaks," </w:t>
      </w:r>
      <w:r>
        <w:rPr>
          <w:i/>
          <w:iCs/>
        </w:rPr>
        <w:t>J. Water Health</w:t>
      </w:r>
      <w:r>
        <w:t>, vol. 20, no. 5, pp. 743–756, 2022.</w:t>
      </w:r>
    </w:p>
    <w:p w:rsidR="00C74D65" w:rsidRDefault="00AB301E">
      <w:pPr>
        <w:spacing w:after="55" w:line="252" w:lineRule="auto"/>
      </w:pPr>
      <w:r>
        <w:lastRenderedPageBreak/>
        <w:t xml:space="preserve">[26] J. </w:t>
      </w:r>
      <w:proofErr w:type="spellStart"/>
      <w:r>
        <w:t>Kamburowski</w:t>
      </w:r>
      <w:proofErr w:type="spellEnd"/>
      <w:r>
        <w:t xml:space="preserve">, "Granger causality in public health: cholera surveillance in Bangladesh," </w:t>
      </w:r>
      <w:r>
        <w:rPr>
          <w:i/>
          <w:iCs/>
        </w:rPr>
        <w:t>J. R. Stat. Soc. Ser. C</w:t>
      </w:r>
      <w:r>
        <w:t>, vol. 72, no. 1, pp. 46–62, 2023.</w:t>
      </w:r>
    </w:p>
    <w:p w:rsidR="00C74D65" w:rsidRDefault="00AB301E">
      <w:pPr>
        <w:spacing w:after="55" w:line="252" w:lineRule="auto"/>
      </w:pPr>
      <w:r>
        <w:t>[27] WHO, "Ending cholera: a global roadmap to 2030," GTFCC, Geneva, 2017.</w:t>
      </w:r>
    </w:p>
    <w:sectPr w:rsidR="00C74D65">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B06" w:rsidRDefault="00A82B06">
      <w:r>
        <w:separator/>
      </w:r>
    </w:p>
  </w:endnote>
  <w:endnote w:type="continuationSeparator" w:id="0">
    <w:p w:rsidR="00A82B06" w:rsidRDefault="00A8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D65" w:rsidRDefault="00AB301E">
    <w:pPr>
      <w:pBdr>
        <w:top w:val="single" w:sz="4" w:space="1" w:color="CCCCCC"/>
      </w:pBdr>
      <w:jc w:val="right"/>
    </w:pPr>
    <w:r>
      <w:rPr>
        <w:rFonts w:ascii="Arial" w:eastAsia="Arial" w:hAnsi="Arial" w:cs="Arial"/>
        <w:color w:val="888888"/>
        <w:sz w:val="16"/>
        <w:szCs w:val="16"/>
      </w:rPr>
      <w:t xml:space="preserve">Solomon — Multi-Model Cholera Network Investigation (Nigeria 2016–2024)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720540">
      <w:rPr>
        <w:rFonts w:ascii="Arial" w:eastAsia="Arial" w:hAnsi="Arial" w:cs="Arial"/>
        <w:noProof/>
        <w:color w:val="888888"/>
        <w:sz w:val="16"/>
        <w:szCs w:val="16"/>
      </w:rPr>
      <w:t>20</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B06" w:rsidRDefault="00A82B06">
      <w:r>
        <w:separator/>
      </w:r>
    </w:p>
  </w:footnote>
  <w:footnote w:type="continuationSeparator" w:id="0">
    <w:p w:rsidR="00A82B06" w:rsidRDefault="00A8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D65" w:rsidRDefault="00AB301E">
    <w:pPr>
      <w:pBdr>
        <w:bottom w:val="single" w:sz="4" w:space="1" w:color="CCCCCC"/>
      </w:pBdr>
    </w:pPr>
    <w:r>
      <w:rPr>
        <w:rFonts w:ascii="Arial" w:eastAsia="Arial" w:hAnsi="Arial" w:cs="Arial"/>
        <w:i/>
        <w:iCs/>
        <w:color w:val="888888"/>
        <w:sz w:val="16"/>
        <w:szCs w:val="16"/>
      </w:rPr>
      <w:t>IEEE JOURNAL OF BIOMEDICAL AND HEALTH INFORMATICS — MANUSCRIPT UNDER REVIEW</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713E"/>
    <w:multiLevelType w:val="hybridMultilevel"/>
    <w:tmpl w:val="7408C48E"/>
    <w:lvl w:ilvl="0" w:tplc="1264C4EC">
      <w:start w:val="1"/>
      <w:numFmt w:val="bullet"/>
      <w:lvlText w:val="●"/>
      <w:lvlJc w:val="left"/>
      <w:pPr>
        <w:ind w:left="720" w:hanging="360"/>
      </w:pPr>
    </w:lvl>
    <w:lvl w:ilvl="1" w:tplc="221CF610">
      <w:start w:val="1"/>
      <w:numFmt w:val="bullet"/>
      <w:lvlText w:val="○"/>
      <w:lvlJc w:val="left"/>
      <w:pPr>
        <w:ind w:left="1440" w:hanging="360"/>
      </w:pPr>
    </w:lvl>
    <w:lvl w:ilvl="2" w:tplc="68EA34EC">
      <w:start w:val="1"/>
      <w:numFmt w:val="bullet"/>
      <w:lvlText w:val="■"/>
      <w:lvlJc w:val="left"/>
      <w:pPr>
        <w:ind w:left="2160" w:hanging="360"/>
      </w:pPr>
    </w:lvl>
    <w:lvl w:ilvl="3" w:tplc="9A124FA8">
      <w:start w:val="1"/>
      <w:numFmt w:val="bullet"/>
      <w:lvlText w:val="●"/>
      <w:lvlJc w:val="left"/>
      <w:pPr>
        <w:ind w:left="2880" w:hanging="360"/>
      </w:pPr>
    </w:lvl>
    <w:lvl w:ilvl="4" w:tplc="530C527A">
      <w:start w:val="1"/>
      <w:numFmt w:val="bullet"/>
      <w:lvlText w:val="○"/>
      <w:lvlJc w:val="left"/>
      <w:pPr>
        <w:ind w:left="3600" w:hanging="360"/>
      </w:pPr>
    </w:lvl>
    <w:lvl w:ilvl="5" w:tplc="9392ED22">
      <w:start w:val="1"/>
      <w:numFmt w:val="bullet"/>
      <w:lvlText w:val="■"/>
      <w:lvlJc w:val="left"/>
      <w:pPr>
        <w:ind w:left="4320" w:hanging="360"/>
      </w:pPr>
    </w:lvl>
    <w:lvl w:ilvl="6" w:tplc="D23C03CA">
      <w:start w:val="1"/>
      <w:numFmt w:val="bullet"/>
      <w:lvlText w:val="●"/>
      <w:lvlJc w:val="left"/>
      <w:pPr>
        <w:ind w:left="5040" w:hanging="360"/>
      </w:pPr>
    </w:lvl>
    <w:lvl w:ilvl="7" w:tplc="9800B1AE">
      <w:start w:val="1"/>
      <w:numFmt w:val="bullet"/>
      <w:lvlText w:val="●"/>
      <w:lvlJc w:val="left"/>
      <w:pPr>
        <w:ind w:left="5760" w:hanging="360"/>
      </w:pPr>
    </w:lvl>
    <w:lvl w:ilvl="8" w:tplc="160AC49A">
      <w:start w:val="1"/>
      <w:numFmt w:val="bullet"/>
      <w:lvlText w:val="●"/>
      <w:lvlJc w:val="left"/>
      <w:pPr>
        <w:ind w:left="6480" w:hanging="360"/>
      </w:pPr>
    </w:lvl>
  </w:abstractNum>
  <w:abstractNum w:abstractNumId="1" w15:restartNumberingAfterBreak="0">
    <w:nsid w:val="6A1D2CFC"/>
    <w:multiLevelType w:val="hybridMultilevel"/>
    <w:tmpl w:val="1C5EC694"/>
    <w:lvl w:ilvl="0" w:tplc="CD1E71FC">
      <w:start w:val="1"/>
      <w:numFmt w:val="decimal"/>
      <w:lvlText w:val="%1."/>
      <w:lvlJc w:val="left"/>
      <w:pPr>
        <w:ind w:left="720" w:hanging="360"/>
      </w:pPr>
    </w:lvl>
    <w:lvl w:ilvl="1" w:tplc="42980CA8">
      <w:numFmt w:val="decimal"/>
      <w:lvlText w:val=""/>
      <w:lvlJc w:val="left"/>
    </w:lvl>
    <w:lvl w:ilvl="2" w:tplc="D7BC02F8">
      <w:numFmt w:val="decimal"/>
      <w:lvlText w:val=""/>
      <w:lvlJc w:val="left"/>
    </w:lvl>
    <w:lvl w:ilvl="3" w:tplc="62FCCDE0">
      <w:numFmt w:val="decimal"/>
      <w:lvlText w:val=""/>
      <w:lvlJc w:val="left"/>
    </w:lvl>
    <w:lvl w:ilvl="4" w:tplc="9CE2289C">
      <w:numFmt w:val="decimal"/>
      <w:lvlText w:val=""/>
      <w:lvlJc w:val="left"/>
    </w:lvl>
    <w:lvl w:ilvl="5" w:tplc="32461E90">
      <w:numFmt w:val="decimal"/>
      <w:lvlText w:val=""/>
      <w:lvlJc w:val="left"/>
    </w:lvl>
    <w:lvl w:ilvl="6" w:tplc="022A4BC2">
      <w:numFmt w:val="decimal"/>
      <w:lvlText w:val=""/>
      <w:lvlJc w:val="left"/>
    </w:lvl>
    <w:lvl w:ilvl="7" w:tplc="E2043D1C">
      <w:numFmt w:val="decimal"/>
      <w:lvlText w:val=""/>
      <w:lvlJc w:val="left"/>
    </w:lvl>
    <w:lvl w:ilvl="8" w:tplc="E9FAC7AE">
      <w:numFmt w:val="decimal"/>
      <w:lvlText w:val=""/>
      <w:lvlJc w:val="left"/>
    </w:lvl>
  </w:abstractNum>
  <w:abstractNum w:abstractNumId="2" w15:restartNumberingAfterBreak="0">
    <w:nsid w:val="76197E8E"/>
    <w:multiLevelType w:val="hybridMultilevel"/>
    <w:tmpl w:val="E1FE4F3A"/>
    <w:lvl w:ilvl="0" w:tplc="C5DC2DA2">
      <w:start w:val="1"/>
      <w:numFmt w:val="bullet"/>
      <w:lvlText w:val="•"/>
      <w:lvlJc w:val="left"/>
      <w:pPr>
        <w:ind w:left="720" w:hanging="360"/>
      </w:pPr>
    </w:lvl>
    <w:lvl w:ilvl="1" w:tplc="F17A565E">
      <w:numFmt w:val="decimal"/>
      <w:lvlText w:val=""/>
      <w:lvlJc w:val="left"/>
    </w:lvl>
    <w:lvl w:ilvl="2" w:tplc="D69A91EA">
      <w:numFmt w:val="decimal"/>
      <w:lvlText w:val=""/>
      <w:lvlJc w:val="left"/>
    </w:lvl>
    <w:lvl w:ilvl="3" w:tplc="3606E98E">
      <w:numFmt w:val="decimal"/>
      <w:lvlText w:val=""/>
      <w:lvlJc w:val="left"/>
    </w:lvl>
    <w:lvl w:ilvl="4" w:tplc="887A2F54">
      <w:numFmt w:val="decimal"/>
      <w:lvlText w:val=""/>
      <w:lvlJc w:val="left"/>
    </w:lvl>
    <w:lvl w:ilvl="5" w:tplc="17A0BA60">
      <w:numFmt w:val="decimal"/>
      <w:lvlText w:val=""/>
      <w:lvlJc w:val="left"/>
    </w:lvl>
    <w:lvl w:ilvl="6" w:tplc="65CCBEDA">
      <w:numFmt w:val="decimal"/>
      <w:lvlText w:val=""/>
      <w:lvlJc w:val="left"/>
    </w:lvl>
    <w:lvl w:ilvl="7" w:tplc="6610F5C6">
      <w:numFmt w:val="decimal"/>
      <w:lvlText w:val=""/>
      <w:lvlJc w:val="left"/>
    </w:lvl>
    <w:lvl w:ilvl="8" w:tplc="455402F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D65"/>
    <w:rsid w:val="00720540"/>
    <w:rsid w:val="00A82B06"/>
    <w:rsid w:val="00AB301E"/>
    <w:rsid w:val="00BE6B16"/>
    <w:rsid w:val="00C7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1337"/>
  <w15:docId w15:val="{85D0BB06-AAFF-44AC-BBA5-8884546F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rFonts w:ascii="Arial" w:eastAsia="Arial" w:hAnsi="Arial" w:cs="Arial"/>
      <w:b/>
      <w:bCs/>
      <w:color w:val="1F3864"/>
      <w:sz w:val="22"/>
      <w:szCs w:val="22"/>
    </w:rPr>
  </w:style>
  <w:style w:type="paragraph" w:styleId="Heading2">
    <w:name w:val="heading 2"/>
    <w:qFormat/>
    <w:pPr>
      <w:spacing w:before="200" w:after="100"/>
      <w:outlineLvl w:val="1"/>
    </w:pPr>
    <w:rPr>
      <w:rFonts w:ascii="Arial" w:eastAsia="Arial" w:hAnsi="Arial" w:cs="Arial"/>
      <w:b/>
      <w:bCs/>
      <w:i/>
      <w:iCs/>
      <w:color w:val="1F3864"/>
      <w:sz w:val="21"/>
      <w:szCs w:val="21"/>
    </w:rPr>
  </w:style>
  <w:style w:type="paragraph" w:styleId="Heading3">
    <w:name w:val="heading 3"/>
    <w:qFormat/>
    <w:pPr>
      <w:spacing w:before="140" w:after="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6909</Words>
  <Characters>39387</Characters>
  <Application>Microsoft Office Word</Application>
  <DocSecurity>0</DocSecurity>
  <Lines>328</Lines>
  <Paragraphs>92</Paragraphs>
  <ScaleCrop>false</ScaleCrop>
  <Company/>
  <LinksUpToDate>false</LinksUpToDate>
  <CharactersWithSpaces>46204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cp:lastModifiedBy>
  <cp:revision>5</cp:revision>
  <dcterms:created xsi:type="dcterms:W3CDTF">2026-04-15T08:08:00Z</dcterms:created>
  <dcterms:modified xsi:type="dcterms:W3CDTF">2026-04-15T08:26:00Z</dcterms:modified>
</cp:coreProperties>
</file>