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5B55"/>
          <w:sz w:val="18"/>
          <w:szCs w:val="18"/>
        </w:rPr>
        <w:t xml:space="preserve">SOCCER ACADEMY PLATFORM</w:t>
      </w:r>
    </w:p>
    <w:p>
      <w:pPr>
        <w:spacing w:after="260"/>
      </w:pPr>
      <w:r>
        <w:rPr>
          <w:b/>
          <w:bCs/>
          <w:color w:val="0F3D2E"/>
          <w:sz w:val="44"/>
          <w:szCs w:val="44"/>
        </w:rPr>
        <w:t xml:space="preserve">UI Consistency Report</w:t>
      </w:r>
    </w:p>
    <w:p>
      <w:pPr>
        <w:spacing w:after="300"/>
      </w:pPr>
      <w:r>
        <w:rPr>
          <w:i/>
          <w:iCs/>
          <w:color w:val="5B5B55"/>
          <w:sz w:val="21"/>
          <w:szCs w:val="21"/>
        </w:rPr>
        <w:t xml:space="preserve">A summary of UI patterns implemented across the admin panel, for reference when building new pages.</w:t>
      </w:r>
    </w:p>
    <w:p>
      <w:pPr>
        <w:pBdr>
          <w:bottom w:val="single" w:color="E3DED2" w:sz="4" w:space="1"/>
        </w:pBdr>
        <w:spacing w:after="200" w:before="100"/>
      </w:pPr>
      <w:r>
        <w:t xml:space="preserve"/>
      </w:r>
    </w:p>
    <w:p>
      <w:pPr>
        <w:pStyle w:val="Heading2"/>
        <w:pBdr>
          <w:bottom w:val="single" w:color="E8A33D" w:sz="6" w:space="4"/>
        </w:pBdr>
        <w:spacing w:after="120" w:before="320"/>
      </w:pPr>
      <w:r>
        <w:rPr>
          <w:b/>
          <w:bCs/>
          <w:color w:val="0F3D2E"/>
          <w:sz w:val="24"/>
          <w:szCs w:val="24"/>
        </w:rPr>
        <w:t xml:space="preserve">1. Why this document exists</w:t>
      </w:r>
    </w:p>
    <w:p>
      <w:pPr>
        <w:spacing w:after="120"/>
      </w:pPr>
      <w:r>
        <w:rPr>
          <w:i w:val="false"/>
          <w:iCs w:val="false"/>
          <w:color w:val="1A1F1C"/>
          <w:sz w:val="21"/>
          <w:szCs w:val="21"/>
        </w:rPr>
        <w:t xml:space="preserve">Several pages in the admin panel (Players, Coaches, Teams, Training Reports, Assessments, Match Stats, Team Reports) were built at different times and drifted out of visual sync — some used tables, some used card rows, borders and legends were inconsistent, and mobile layouts broke in different ways on different pages. This document captures the patterns we've since standardized on, so new pages match on the first pass instead of needing a follow-up pass to align them.</w:t>
      </w:r>
    </w:p>
    <w:p>
      <w:pPr>
        <w:pStyle w:val="Heading2"/>
        <w:pBdr>
          <w:bottom w:val="single" w:color="E8A33D" w:sz="6" w:space="4"/>
        </w:pBdr>
        <w:spacing w:after="120" w:before="320"/>
      </w:pPr>
      <w:r>
        <w:rPr>
          <w:b/>
          <w:bCs/>
          <w:color w:val="0F3D2E"/>
          <w:sz w:val="24"/>
          <w:szCs w:val="24"/>
        </w:rPr>
        <w:t xml:space="preserve">2. Sidebar navigation</w:t>
      </w:r>
    </w:p>
    <w:p>
      <w:pPr>
        <w:pStyle w:val="Heading3"/>
        <w:spacing w:after="80" w:before="200"/>
      </w:pPr>
      <w:r>
        <w:rPr>
          <w:b/>
          <w:bCs/>
          <w:color w:val="1A1F1C"/>
          <w:sz w:val="21"/>
          <w:szCs w:val="21"/>
        </w:rPr>
        <w:t xml:space="preserve">Mobile drawer</w:t>
      </w:r>
    </w:p>
    <w:p>
      <w:pPr>
        <w:spacing w:after="120"/>
      </w:pPr>
      <w:r>
        <w:rPr>
          <w:i w:val="false"/>
          <w:iCs w:val="false"/>
          <w:color w:val="1A1F1C"/>
          <w:sz w:val="21"/>
          <w:szCs w:val="21"/>
        </w:rPr>
        <w:t xml:space="preserve">The sidebar is fixed on desktop and becomes an off-canvas drawer below 768px, toggled by a hamburger icon in the header. Implemented with a hidden checkbox + CSS sibling selectors — no client-side JavaScript required.</w:t>
      </w:r>
    </w:p>
    <w:p>
      <w:pPr>
        <w:pStyle w:val="ListParagraph"/>
        <w:numPr>
          <w:ilvl w:val="0"/>
          <w:numId w:val="2"/>
        </w:numPr>
        <w:spacing w:after="60"/>
      </w:pPr>
      <w:r>
        <w:rPr>
          <w:b/>
          <w:bCs/>
          <w:color w:val="1A1F1C"/>
          <w:sz w:val="21"/>
          <w:szCs w:val="21"/>
        </w:rPr>
        <w:t xml:space="preserve">Known fix applied: </w:t>
      </w:r>
      <w:r>
        <w:rPr>
          <w:color w:val="1A1F1C"/>
          <w:sz w:val="21"/>
          <w:szCs w:val="21"/>
        </w:rPr>
        <w:t xml:space="preserve">the drawer state previously persisted across page navigations (staying open after clicking a link). Fixed by wrapping the sidebar in a small client component that remounts on every route change.</w:t>
      </w:r>
    </w:p>
    <w:p>
      <w:pPr>
        <w:pStyle w:val="Heading3"/>
        <w:spacing w:after="80" w:before="200"/>
      </w:pPr>
      <w:r>
        <w:rPr>
          <w:b/>
          <w:bCs/>
          <w:color w:val="1A1F1C"/>
          <w:sz w:val="21"/>
          <w:szCs w:val="21"/>
        </w:rPr>
        <w:t xml:space="preserve">Grouped, collapsible sections</w:t>
      </w:r>
    </w:p>
    <w:p>
      <w:pPr>
        <w:spacing w:after="120"/>
      </w:pPr>
      <w:r>
        <w:rPr>
          <w:i w:val="false"/>
          <w:iCs w:val="false"/>
          <w:color w:val="1A1F1C"/>
          <w:sz w:val="21"/>
          <w:szCs w:val="21"/>
        </w:rPr>
        <w:t xml:space="preserve">Nav links are grouped under small uppercase section headers with a leading icon and a collapse/expand chevron, rather than one flat list:</w:t>
      </w:r>
    </w:p>
    <w:tbl>
      <w:tblPr>
        <w:tblW w:type="pct" w:w="100%"/>
        <w:tblBorders>
          <w:top w:val="single" w:color="E3DED2" w:sz="4"/>
          <w:left w:val="single" w:color="E3DED2" w:sz="4"/>
          <w:bottom w:val="single" w:color="E3DED2" w:sz="4"/>
          <w:right w:val="single" w:color="E3DED2" w:sz="4"/>
          <w:insideH w:val="single" w:color="E3DED2" w:sz="4"/>
          <w:insideV w:val="single" w:color="E3DED2" w:sz="4"/>
        </w:tblBorders>
      </w:tblPr>
      <w:tblGrid>
        <w:gridCol w:w="100"/>
        <w:gridCol w:w="100"/>
      </w:tblGrid>
      <w:tr>
        <w:tc>
          <w:tcPr>
            <w:tcW w:type="pct" w:w="30%"/>
            <w:shd w:fill="0F3D2E" w:val="clear"/>
            <w:tcMar>
              <w:top w:type="dxa" w:w="100"/>
              <w:left w:type="dxa" w:w="120"/>
              <w:bottom w:type="dxa" w:w="100"/>
              <w:right w:type="dxa" w:w="120"/>
            </w:tcMar>
          </w:tcPr>
          <w:p>
            <w:r>
              <w:rPr>
                <w:b/>
                <w:bCs/>
                <w:color w:val="FFFFFF"/>
                <w:sz w:val="20"/>
                <w:szCs w:val="20"/>
              </w:rPr>
              <w:t xml:space="preserve">Group</w:t>
            </w:r>
          </w:p>
        </w:tc>
        <w:tc>
          <w:tcPr>
            <w:tcW w:type="pct" w:w="70%"/>
            <w:shd w:fill="0F3D2E" w:val="clear"/>
            <w:tcMar>
              <w:top w:type="dxa" w:w="100"/>
              <w:left w:type="dxa" w:w="120"/>
              <w:bottom w:type="dxa" w:w="100"/>
              <w:right w:type="dxa" w:w="120"/>
            </w:tcMar>
          </w:tcPr>
          <w:p>
            <w:r>
              <w:rPr>
                <w:b/>
                <w:bCs/>
                <w:color w:val="FFFFFF"/>
                <w:sz w:val="20"/>
                <w:szCs w:val="20"/>
              </w:rPr>
              <w:t xml:space="preserve">Contents</w:t>
            </w:r>
          </w:p>
        </w:tc>
      </w:tr>
      <w:tr>
        <w:tc>
          <w:tcPr>
            <w:tcW w:type="pct" w:w="30%"/>
            <w:tcMar>
              <w:top w:type="dxa" w:w="100"/>
              <w:left w:type="dxa" w:w="120"/>
              <w:bottom w:type="dxa" w:w="100"/>
              <w:right w:type="dxa" w:w="120"/>
            </w:tcMar>
          </w:tcPr>
          <w:p>
            <w:r>
              <w:rPr>
                <w:b w:val="false"/>
                <w:bCs w:val="false"/>
                <w:color w:val="1A1F1C"/>
                <w:sz w:val="20"/>
                <w:szCs w:val="20"/>
              </w:rPr>
              <w:t xml:space="preserve">Roster</w:t>
            </w:r>
          </w:p>
        </w:tc>
        <w:tc>
          <w:tcPr>
            <w:tcW w:type="pct" w:w="70%"/>
            <w:tcMar>
              <w:top w:type="dxa" w:w="100"/>
              <w:left w:type="dxa" w:w="120"/>
              <w:bottom w:type="dxa" w:w="100"/>
              <w:right w:type="dxa" w:w="120"/>
            </w:tcMar>
          </w:tcPr>
          <w:p>
            <w:r>
              <w:rPr>
                <w:b w:val="false"/>
                <w:bCs w:val="false"/>
                <w:color w:val="1A1F1C"/>
                <w:sz w:val="20"/>
                <w:szCs w:val="20"/>
              </w:rPr>
              <w:t xml:space="preserve">Teams, Coaches, Players</w:t>
            </w:r>
          </w:p>
        </w:tc>
      </w:tr>
      <w:tr>
        <w:tc>
          <w:tcPr>
            <w:tcW w:type="pct" w:w="30%"/>
            <w:tcMar>
              <w:top w:type="dxa" w:w="100"/>
              <w:left w:type="dxa" w:w="120"/>
              <w:bottom w:type="dxa" w:w="100"/>
              <w:right w:type="dxa" w:w="120"/>
            </w:tcMar>
          </w:tcPr>
          <w:p>
            <w:r>
              <w:rPr>
                <w:b w:val="false"/>
                <w:bCs w:val="false"/>
                <w:color w:val="1A1F1C"/>
                <w:sz w:val="20"/>
                <w:szCs w:val="20"/>
              </w:rPr>
              <w:t xml:space="preserve">Operations</w:t>
            </w:r>
          </w:p>
        </w:tc>
        <w:tc>
          <w:tcPr>
            <w:tcW w:type="pct" w:w="70%"/>
            <w:tcMar>
              <w:top w:type="dxa" w:w="100"/>
              <w:left w:type="dxa" w:w="120"/>
              <w:bottom w:type="dxa" w:w="100"/>
              <w:right w:type="dxa" w:w="120"/>
            </w:tcMar>
          </w:tcPr>
          <w:p>
            <w:r>
              <w:rPr>
                <w:b w:val="false"/>
                <w:bCs w:val="false"/>
                <w:color w:val="1A1F1C"/>
                <w:sz w:val="20"/>
                <w:szCs w:val="20"/>
              </w:rPr>
              <w:t xml:space="preserve">Schedule, Training Log, Match Stats</w:t>
            </w:r>
          </w:p>
        </w:tc>
      </w:tr>
      <w:tr>
        <w:tc>
          <w:tcPr>
            <w:tcW w:type="pct" w:w="30%"/>
            <w:tcMar>
              <w:top w:type="dxa" w:w="100"/>
              <w:left w:type="dxa" w:w="120"/>
              <w:bottom w:type="dxa" w:w="100"/>
              <w:right w:type="dxa" w:w="120"/>
            </w:tcMar>
          </w:tcPr>
          <w:p>
            <w:r>
              <w:rPr>
                <w:b w:val="false"/>
                <w:bCs w:val="false"/>
                <w:color w:val="1A1F1C"/>
                <w:sz w:val="20"/>
                <w:szCs w:val="20"/>
              </w:rPr>
              <w:t xml:space="preserve">Reports</w:t>
            </w:r>
          </w:p>
        </w:tc>
        <w:tc>
          <w:tcPr>
            <w:tcW w:type="pct" w:w="70%"/>
            <w:tcMar>
              <w:top w:type="dxa" w:w="100"/>
              <w:left w:type="dxa" w:w="120"/>
              <w:bottom w:type="dxa" w:w="100"/>
              <w:right w:type="dxa" w:w="120"/>
            </w:tcMar>
          </w:tcPr>
          <w:p>
            <w:r>
              <w:rPr>
                <w:b w:val="false"/>
                <w:bCs w:val="false"/>
                <w:color w:val="1A1F1C"/>
                <w:sz w:val="20"/>
                <w:szCs w:val="20"/>
              </w:rPr>
              <w:t xml:space="preserve">Training Reports, Team Reports</w:t>
            </w:r>
          </w:p>
        </w:tc>
      </w:tr>
      <w:tr>
        <w:tc>
          <w:tcPr>
            <w:tcW w:type="pct" w:w="30%"/>
            <w:tcMar>
              <w:top w:type="dxa" w:w="100"/>
              <w:left w:type="dxa" w:w="120"/>
              <w:bottom w:type="dxa" w:w="100"/>
              <w:right w:type="dxa" w:w="120"/>
            </w:tcMar>
          </w:tcPr>
          <w:p>
            <w:r>
              <w:rPr>
                <w:b w:val="false"/>
                <w:bCs w:val="false"/>
                <w:color w:val="1A1F1C"/>
                <w:sz w:val="20"/>
                <w:szCs w:val="20"/>
              </w:rPr>
              <w:t xml:space="preserve">Content</w:t>
            </w:r>
          </w:p>
        </w:tc>
        <w:tc>
          <w:tcPr>
            <w:tcW w:type="pct" w:w="70%"/>
            <w:tcMar>
              <w:top w:type="dxa" w:w="100"/>
              <w:left w:type="dxa" w:w="120"/>
              <w:bottom w:type="dxa" w:w="100"/>
              <w:right w:type="dxa" w:w="120"/>
            </w:tcMar>
          </w:tcPr>
          <w:p>
            <w:r>
              <w:rPr>
                <w:b w:val="false"/>
                <w:bCs w:val="false"/>
                <w:color w:val="1A1F1C"/>
                <w:sz w:val="20"/>
                <w:szCs w:val="20"/>
              </w:rPr>
              <w:t xml:space="preserve">News, Videos, Gallery</w:t>
            </w:r>
          </w:p>
        </w:tc>
      </w:tr>
      <w:tr>
        <w:tc>
          <w:tcPr>
            <w:tcW w:type="pct" w:w="30%"/>
            <w:tcMar>
              <w:top w:type="dxa" w:w="100"/>
              <w:left w:type="dxa" w:w="120"/>
              <w:bottom w:type="dxa" w:w="100"/>
              <w:right w:type="dxa" w:w="120"/>
            </w:tcMar>
          </w:tcPr>
          <w:p>
            <w:r>
              <w:rPr>
                <w:b w:val="false"/>
                <w:bCs w:val="false"/>
                <w:color w:val="1A1F1C"/>
                <w:sz w:val="20"/>
                <w:szCs w:val="20"/>
              </w:rPr>
              <w:t xml:space="preserve">Admin</w:t>
            </w:r>
          </w:p>
        </w:tc>
        <w:tc>
          <w:tcPr>
            <w:tcW w:type="pct" w:w="70%"/>
            <w:tcMar>
              <w:top w:type="dxa" w:w="100"/>
              <w:left w:type="dxa" w:w="120"/>
              <w:bottom w:type="dxa" w:w="100"/>
              <w:right w:type="dxa" w:w="120"/>
            </w:tcMar>
          </w:tcPr>
          <w:p>
            <w:r>
              <w:rPr>
                <w:b w:val="false"/>
                <w:bCs w:val="false"/>
                <w:color w:val="1A1F1C"/>
                <w:sz w:val="20"/>
                <w:szCs w:val="20"/>
              </w:rPr>
              <w:t xml:space="preserve">Enquiries</w:t>
            </w:r>
          </w:p>
        </w:tc>
      </w:tr>
    </w:tbl>
    <w:p>
      <w:pPr>
        <w:spacing w:after="200"/>
      </w:pPr>
    </w:p>
    <w:p>
      <w:pPr>
        <w:spacing w:after="120"/>
      </w:pPr>
      <w:r>
        <w:rPr>
          <w:i w:val="false"/>
          <w:iCs w:val="false"/>
          <w:color w:val="1A1F1C"/>
          <w:sz w:val="21"/>
          <w:szCs w:val="21"/>
        </w:rPr>
        <w:t xml:space="preserve">Groups are collapsible using the same CSS-checkbox pattern as the mobile drawer. Note: groups currently reset to expanded on every navigation, since the sidebar remounts per route — persisting collapsed state across pages would need localStorage in a client component, not yet implemented.</w:t>
      </w:r>
    </w:p>
    <w:p>
      <w:pPr>
        <w:pStyle w:val="Heading3"/>
        <w:spacing w:after="80" w:before="200"/>
      </w:pPr>
      <w:r>
        <w:rPr>
          <w:b/>
          <w:bCs/>
          <w:color w:val="1A1F1C"/>
          <w:sz w:val="21"/>
          <w:szCs w:val="21"/>
        </w:rPr>
        <w:t xml:space="preserve">Header alignment</w:t>
      </w:r>
    </w:p>
    <w:p>
      <w:pPr>
        <w:spacing w:after="120"/>
      </w:pPr>
      <w:r>
        <w:rPr>
          <w:i w:val="false"/>
          <w:iCs w:val="false"/>
          <w:color w:val="1A1F1C"/>
          <w:sz w:val="21"/>
          <w:szCs w:val="21"/>
        </w:rPr>
        <w:t xml:space="preserve">The user menu (top right) must use marginLeft: "auto" on its wrapper rather than relying on justifyContent: "space-between" on the header. With space-between and only one visible flex item (on desktop, where the hamburger label is hidden), the single item lands at the start of the row, not the end — a subtle flexbox trap worth knowing about.</w:t>
      </w:r>
    </w:p>
    <w:p>
      <w:pPr>
        <w:pStyle w:val="Heading2"/>
        <w:pBdr>
          <w:bottom w:val="single" w:color="E8A33D" w:sz="6" w:space="4"/>
        </w:pBdr>
        <w:spacing w:after="120" w:before="320"/>
      </w:pPr>
      <w:r>
        <w:rPr>
          <w:b/>
          <w:bCs/>
          <w:color w:val="0F3D2E"/>
          <w:sz w:val="24"/>
          <w:szCs w:val="24"/>
        </w:rPr>
        <w:t xml:space="preserve">3. Card and table styling standard</w:t>
      </w:r>
    </w:p>
    <w:p>
      <w:pPr>
        <w:spacing w:after="120"/>
      </w:pPr>
      <w:r>
        <w:rPr>
          <w:i w:val="false"/>
          <w:iCs w:val="false"/>
          <w:color w:val="1A1F1C"/>
          <w:sz w:val="21"/>
          <w:szCs w:val="21"/>
        </w:rPr>
        <w:t xml:space="preserve">Every data card and table across the admin panel now shares one visual container style:</w:t>
      </w:r>
    </w:p>
    <w:tbl>
      <w:tblPr>
        <w:tblW w:type="pct" w:w="100%"/>
        <w:tblBorders>
          <w:top w:val="single" w:color="E3DED2" w:sz="4"/>
          <w:left w:val="single" w:color="E3DED2" w:sz="4"/>
          <w:bottom w:val="single" w:color="E3DED2" w:sz="4"/>
          <w:right w:val="single" w:color="E3DED2" w:sz="4"/>
          <w:insideH w:val="single" w:color="E3DED2" w:sz="4"/>
          <w:insideV w:val="single" w:color="E3DED2" w:sz="4"/>
        </w:tblBorders>
      </w:tblPr>
      <w:tblGrid>
        <w:gridCol w:w="100"/>
        <w:gridCol w:w="100"/>
      </w:tblGrid>
      <w:tr>
        <w:tc>
          <w:tcPr>
            <w:tcW w:type="pct" w:w="35%"/>
            <w:shd w:fill="0F3D2E" w:val="clear"/>
            <w:tcMar>
              <w:top w:type="dxa" w:w="100"/>
              <w:left w:type="dxa" w:w="120"/>
              <w:bottom w:type="dxa" w:w="100"/>
              <w:right w:type="dxa" w:w="120"/>
            </w:tcMar>
          </w:tcPr>
          <w:p>
            <w:r>
              <w:rPr>
                <w:b/>
                <w:bCs/>
                <w:color w:val="FFFFFF"/>
                <w:sz w:val="20"/>
                <w:szCs w:val="20"/>
              </w:rPr>
              <w:t xml:space="preserve">Property</w:t>
            </w:r>
          </w:p>
        </w:tc>
        <w:tc>
          <w:tcPr>
            <w:tcW w:type="pct" w:w="65%"/>
            <w:shd w:fill="0F3D2E" w:val="clear"/>
            <w:tcMar>
              <w:top w:type="dxa" w:w="100"/>
              <w:left w:type="dxa" w:w="120"/>
              <w:bottom w:type="dxa" w:w="100"/>
              <w:right w:type="dxa" w:w="120"/>
            </w:tcMar>
          </w:tcPr>
          <w:p>
            <w:r>
              <w:rPr>
                <w:b/>
                <w:bCs/>
                <w:color w:val="FFFFFF"/>
                <w:sz w:val="20"/>
                <w:szCs w:val="20"/>
              </w:rPr>
              <w:t xml:space="preserve">Value</w:t>
            </w:r>
          </w:p>
        </w:tc>
      </w:tr>
      <w:tr>
        <w:tc>
          <w:tcPr>
            <w:tcW w:type="pct" w:w="35%"/>
            <w:tcMar>
              <w:top w:type="dxa" w:w="100"/>
              <w:left w:type="dxa" w:w="120"/>
              <w:bottom w:type="dxa" w:w="100"/>
              <w:right w:type="dxa" w:w="120"/>
            </w:tcMar>
          </w:tcPr>
          <w:p>
            <w:r>
              <w:rPr>
                <w:b w:val="false"/>
                <w:bCs w:val="false"/>
                <w:color w:val="1A1F1C"/>
                <w:sz w:val="20"/>
                <w:szCs w:val="20"/>
              </w:rPr>
              <w:t xml:space="preserve">Background</w:t>
            </w:r>
          </w:p>
        </w:tc>
        <w:tc>
          <w:tcPr>
            <w:tcW w:type="pct" w:w="65%"/>
            <w:tcMar>
              <w:top w:type="dxa" w:w="100"/>
              <w:left w:type="dxa" w:w="120"/>
              <w:bottom w:type="dxa" w:w="100"/>
              <w:right w:type="dxa" w:w="120"/>
            </w:tcMar>
          </w:tcPr>
          <w:p>
            <w:r>
              <w:rPr>
                <w:b w:val="false"/>
                <w:bCs w:val="false"/>
                <w:color w:val="1A1F1C"/>
                <w:sz w:val="20"/>
                <w:szCs w:val="20"/>
              </w:rPr>
              <w:t xml:space="preserve">white</w:t>
            </w:r>
          </w:p>
        </w:tc>
      </w:tr>
      <w:tr>
        <w:tc>
          <w:tcPr>
            <w:tcW w:type="pct" w:w="35%"/>
            <w:tcMar>
              <w:top w:type="dxa" w:w="100"/>
              <w:left w:type="dxa" w:w="120"/>
              <w:bottom w:type="dxa" w:w="100"/>
              <w:right w:type="dxa" w:w="120"/>
            </w:tcMar>
          </w:tcPr>
          <w:p>
            <w:r>
              <w:rPr>
                <w:b w:val="false"/>
                <w:bCs w:val="false"/>
                <w:color w:val="1A1F1C"/>
                <w:sz w:val="20"/>
                <w:szCs w:val="20"/>
              </w:rPr>
              <w:t xml:space="preserve">Border</w:t>
            </w:r>
          </w:p>
        </w:tc>
        <w:tc>
          <w:tcPr>
            <w:tcW w:type="pct" w:w="65%"/>
            <w:tcMar>
              <w:top w:type="dxa" w:w="100"/>
              <w:left w:type="dxa" w:w="120"/>
              <w:bottom w:type="dxa" w:w="100"/>
              <w:right w:type="dxa" w:w="120"/>
            </w:tcMar>
          </w:tcPr>
          <w:p>
            <w:r>
              <w:rPr>
                <w:b w:val="false"/>
                <w:bCs w:val="false"/>
                <w:color w:val="1A1F1C"/>
                <w:sz w:val="20"/>
                <w:szCs w:val="20"/>
              </w:rPr>
              <w:t xml:space="preserve">1px solid #e3ded2</w:t>
            </w:r>
          </w:p>
        </w:tc>
      </w:tr>
      <w:tr>
        <w:tc>
          <w:tcPr>
            <w:tcW w:type="pct" w:w="35%"/>
            <w:tcMar>
              <w:top w:type="dxa" w:w="100"/>
              <w:left w:type="dxa" w:w="120"/>
              <w:bottom w:type="dxa" w:w="100"/>
              <w:right w:type="dxa" w:w="120"/>
            </w:tcMar>
          </w:tcPr>
          <w:p>
            <w:r>
              <w:rPr>
                <w:b w:val="false"/>
                <w:bCs w:val="false"/>
                <w:color w:val="1A1F1C"/>
                <w:sz w:val="20"/>
                <w:szCs w:val="20"/>
              </w:rPr>
              <w:t xml:space="preserve">Border radius</w:t>
            </w:r>
          </w:p>
        </w:tc>
        <w:tc>
          <w:tcPr>
            <w:tcW w:type="pct" w:w="65%"/>
            <w:tcMar>
              <w:top w:type="dxa" w:w="100"/>
              <w:left w:type="dxa" w:w="120"/>
              <w:bottom w:type="dxa" w:w="100"/>
              <w:right w:type="dxa" w:w="120"/>
            </w:tcMar>
          </w:tcPr>
          <w:p>
            <w:r>
              <w:rPr>
                <w:b w:val="false"/>
                <w:bCs w:val="false"/>
                <w:color w:val="1A1F1C"/>
                <w:sz w:val="20"/>
                <w:szCs w:val="20"/>
              </w:rPr>
              <w:t xml:space="preserve">8px</w:t>
            </w:r>
          </w:p>
        </w:tc>
      </w:tr>
      <w:tr>
        <w:tc>
          <w:tcPr>
            <w:tcW w:type="pct" w:w="35%"/>
            <w:tcMar>
              <w:top w:type="dxa" w:w="100"/>
              <w:left w:type="dxa" w:w="120"/>
              <w:bottom w:type="dxa" w:w="100"/>
              <w:right w:type="dxa" w:w="120"/>
            </w:tcMar>
          </w:tcPr>
          <w:p>
            <w:r>
              <w:rPr>
                <w:b w:val="false"/>
                <w:bCs w:val="false"/>
                <w:color w:val="1A1F1C"/>
                <w:sz w:val="20"/>
                <w:szCs w:val="20"/>
              </w:rPr>
              <w:t xml:space="preserve">Padding</w:t>
            </w:r>
          </w:p>
        </w:tc>
        <w:tc>
          <w:tcPr>
            <w:tcW w:type="pct" w:w="65%"/>
            <w:tcMar>
              <w:top w:type="dxa" w:w="100"/>
              <w:left w:type="dxa" w:w="120"/>
              <w:bottom w:type="dxa" w:w="100"/>
              <w:right w:type="dxa" w:w="120"/>
            </w:tcMar>
          </w:tcPr>
          <w:p>
            <w:r>
              <w:rPr>
                <w:b w:val="false"/>
                <w:bCs w:val="false"/>
                <w:color w:val="1A1F1C"/>
                <w:sz w:val="20"/>
                <w:szCs w:val="20"/>
              </w:rPr>
              <w:t xml:space="preserve">20px (cards) / 0 with 12px 16px cell padding (tables)</w:t>
            </w:r>
          </w:p>
        </w:tc>
      </w:tr>
    </w:tbl>
    <w:p>
      <w:pPr>
        <w:spacing w:after="200"/>
      </w:pPr>
    </w:p>
    <w:p>
      <w:pPr>
        <w:spacing w:after="120"/>
      </w:pPr>
      <w:r>
        <w:rPr>
          <w:i w:val="false"/>
          <w:iCs w:val="false"/>
          <w:color w:val="1A1F1C"/>
          <w:sz w:val="21"/>
          <w:szCs w:val="21"/>
        </w:rPr>
        <w:t xml:space="preserve">This is defined once per page as a cardStyle constant and spread onto chart containers, summary tiles, and table wrappers, rather than repeated inline.</w:t>
      </w:r>
    </w:p>
    <w:p>
      <w:pPr>
        <w:pStyle w:val="Heading3"/>
        <w:spacing w:after="80" w:before="200"/>
      </w:pPr>
      <w:r>
        <w:rPr>
          <w:b/>
          <w:bCs/>
          <w:color w:val="1A1F1C"/>
          <w:sz w:val="21"/>
          <w:szCs w:val="21"/>
        </w:rPr>
        <w:t xml:space="preserve">Chart legends</w:t>
      </w:r>
    </w:p>
    <w:p>
      <w:pPr>
        <w:spacing w:after="120"/>
      </w:pPr>
      <w:r>
        <w:rPr>
          <w:i w:val="false"/>
          <w:iCs w:val="false"/>
          <w:color w:val="1A1F1C"/>
          <w:sz w:val="21"/>
          <w:szCs w:val="21"/>
        </w:rPr>
        <w:t xml:space="preserve">Any single-series bar chart gets a small ChartLegend component above it — a colored swatch plus a descriptive label (e.g. "% of squad present", "Avg. coach rating (out of 5)"). This was extracted into a shared component (components/ChartLegend.tsx) after being duplicated across two pages. Charts with a built-in multi-series legend (GroupedBarChart) don't need this — only the card wrapper.</w:t>
      </w:r>
    </w:p>
    <w:p>
      <w:pPr>
        <w:pStyle w:val="Heading2"/>
        <w:pBdr>
          <w:bottom w:val="single" w:color="E8A33D" w:sz="6" w:space="4"/>
        </w:pBdr>
        <w:spacing w:after="120" w:before="320"/>
      </w:pPr>
      <w:r>
        <w:rPr>
          <w:b/>
          <w:bCs/>
          <w:color w:val="0F3D2E"/>
          <w:sz w:val="24"/>
          <w:szCs w:val="24"/>
        </w:rPr>
        <w:t xml:space="preserve">4. Two list-page patterns — used deliberately, not interchangeably</w:t>
      </w:r>
    </w:p>
    <w:p>
      <w:pPr>
        <w:spacing w:after="120"/>
      </w:pPr>
      <w:r>
        <w:rPr>
          <w:i w:val="false"/>
          <w:iCs w:val="false"/>
          <w:color w:val="1A1F1C"/>
          <w:sz w:val="21"/>
          <w:szCs w:val="21"/>
        </w:rPr>
        <w:t xml:space="preserve">We standardized on two different list patterns depending on what the data represents, rather than forcing everything into one:</w:t>
      </w:r>
    </w:p>
    <w:tbl>
      <w:tblPr>
        <w:tblW w:type="pct" w:w="100%"/>
        <w:tblBorders>
          <w:top w:val="single" w:color="E3DED2" w:sz="4"/>
          <w:left w:val="single" w:color="E3DED2" w:sz="4"/>
          <w:bottom w:val="single" w:color="E3DED2" w:sz="4"/>
          <w:right w:val="single" w:color="E3DED2" w:sz="4"/>
          <w:insideH w:val="single" w:color="E3DED2" w:sz="4"/>
          <w:insideV w:val="single" w:color="E3DED2" w:sz="4"/>
        </w:tblBorders>
      </w:tblPr>
      <w:tblGrid>
        <w:gridCol w:w="100"/>
        <w:gridCol w:w="100"/>
        <w:gridCol w:w="100"/>
      </w:tblGrid>
      <w:tr>
        <w:tc>
          <w:tcPr>
            <w:tcW w:type="pct" w:w="28%"/>
            <w:shd w:fill="0F3D2E" w:val="clear"/>
            <w:tcMar>
              <w:top w:type="dxa" w:w="100"/>
              <w:left w:type="dxa" w:w="120"/>
              <w:bottom w:type="dxa" w:w="100"/>
              <w:right w:type="dxa" w:w="120"/>
            </w:tcMar>
          </w:tcPr>
          <w:p>
            <w:r>
              <w:rPr>
                <w:b/>
                <w:bCs/>
                <w:color w:val="FFFFFF"/>
                <w:sz w:val="20"/>
                <w:szCs w:val="20"/>
              </w:rPr>
              <w:t xml:space="preserve">Pattern</w:t>
            </w:r>
          </w:p>
        </w:tc>
        <w:tc>
          <w:tcPr>
            <w:tcW w:type="pct" w:w="24%"/>
            <w:shd w:fill="0F3D2E" w:val="clear"/>
            <w:tcMar>
              <w:top w:type="dxa" w:w="100"/>
              <w:left w:type="dxa" w:w="120"/>
              <w:bottom w:type="dxa" w:w="100"/>
              <w:right w:type="dxa" w:w="120"/>
            </w:tcMar>
          </w:tcPr>
          <w:p>
            <w:r>
              <w:rPr>
                <w:b/>
                <w:bCs/>
                <w:color w:val="FFFFFF"/>
                <w:sz w:val="20"/>
                <w:szCs w:val="20"/>
              </w:rPr>
              <w:t xml:space="preserve">Used for</w:t>
            </w:r>
          </w:p>
        </w:tc>
        <w:tc>
          <w:tcPr>
            <w:tcW w:type="pct" w:w="48%"/>
            <w:shd w:fill="0F3D2E" w:val="clear"/>
            <w:tcMar>
              <w:top w:type="dxa" w:w="100"/>
              <w:left w:type="dxa" w:w="120"/>
              <w:bottom w:type="dxa" w:w="100"/>
              <w:right w:type="dxa" w:w="120"/>
            </w:tcMar>
          </w:tcPr>
          <w:p>
            <w:r>
              <w:rPr>
                <w:b/>
                <w:bCs/>
                <w:color w:val="FFFFFF"/>
                <w:sz w:val="20"/>
                <w:szCs w:val="20"/>
              </w:rPr>
              <w:t xml:space="preserve">Why</w:t>
            </w:r>
          </w:p>
        </w:tc>
      </w:tr>
      <w:tr>
        <w:tc>
          <w:tcPr>
            <w:tcW w:type="pct" w:w="28%"/>
            <w:tcMar>
              <w:top w:type="dxa" w:w="100"/>
              <w:left w:type="dxa" w:w="120"/>
              <w:bottom w:type="dxa" w:w="100"/>
              <w:right w:type="dxa" w:w="120"/>
            </w:tcMar>
          </w:tcPr>
          <w:p>
            <w:r>
              <w:rPr>
                <w:b w:val="false"/>
                <w:bCs w:val="false"/>
                <w:color w:val="1A1F1C"/>
                <w:sz w:val="20"/>
                <w:szCs w:val="20"/>
              </w:rPr>
              <w:t xml:space="preserve">Card-row list
(avatar, name + subtitle, actions)</w:t>
            </w:r>
          </w:p>
        </w:tc>
        <w:tc>
          <w:tcPr>
            <w:tcW w:type="pct" w:w="24%"/>
            <w:tcMar>
              <w:top w:type="dxa" w:w="100"/>
              <w:left w:type="dxa" w:w="120"/>
              <w:bottom w:type="dxa" w:w="100"/>
              <w:right w:type="dxa" w:w="120"/>
            </w:tcMar>
          </w:tcPr>
          <w:p>
            <w:r>
              <w:rPr>
                <w:b w:val="false"/>
                <w:bCs w:val="false"/>
                <w:color w:val="1A1F1C"/>
                <w:sz w:val="20"/>
                <w:szCs w:val="20"/>
              </w:rPr>
              <w:t xml:space="preserve">Teams, Coaches, Players</w:t>
            </w:r>
          </w:p>
        </w:tc>
        <w:tc>
          <w:tcPr>
            <w:tcW w:type="pct" w:w="48%"/>
            <w:tcMar>
              <w:top w:type="dxa" w:w="100"/>
              <w:left w:type="dxa" w:w="120"/>
              <w:bottom w:type="dxa" w:w="100"/>
              <w:right w:type="dxa" w:w="120"/>
            </w:tcMar>
          </w:tcPr>
          <w:p>
            <w:r>
              <w:rPr>
                <w:b w:val="false"/>
                <w:bCs w:val="false"/>
                <w:color w:val="1A1F1C"/>
                <w:sz w:val="20"/>
                <w:szCs w:val="20"/>
              </w:rPr>
              <w:t xml:space="preserve">These are entities/people. A card reads more human, and reflows naturally on mobile without needing horizontal scroll.</w:t>
            </w:r>
          </w:p>
        </w:tc>
      </w:tr>
      <w:tr>
        <w:tc>
          <w:tcPr>
            <w:tcW w:type="pct" w:w="28%"/>
            <w:tcMar>
              <w:top w:type="dxa" w:w="100"/>
              <w:left w:type="dxa" w:w="120"/>
              <w:bottom w:type="dxa" w:w="100"/>
              <w:right w:type="dxa" w:w="120"/>
            </w:tcMar>
          </w:tcPr>
          <w:p>
            <w:r>
              <w:rPr>
                <w:b w:val="false"/>
                <w:bCs w:val="false"/>
                <w:color w:val="1A1F1C"/>
                <w:sz w:val="20"/>
                <w:szCs w:val="20"/>
              </w:rPr>
              <w:t xml:space="preserve">Bordered card + table</w:t>
            </w:r>
          </w:p>
        </w:tc>
        <w:tc>
          <w:tcPr>
            <w:tcW w:type="pct" w:w="24%"/>
            <w:tcMar>
              <w:top w:type="dxa" w:w="100"/>
              <w:left w:type="dxa" w:w="120"/>
              <w:bottom w:type="dxa" w:w="100"/>
              <w:right w:type="dxa" w:w="120"/>
            </w:tcMar>
          </w:tcPr>
          <w:p>
            <w:r>
              <w:rPr>
                <w:b w:val="false"/>
                <w:bCs w:val="false"/>
                <w:color w:val="1A1F1C"/>
                <w:sz w:val="20"/>
                <w:szCs w:val="20"/>
              </w:rPr>
              <w:t xml:space="preserve">Schedule, Match Stats, Training Log</w:t>
            </w:r>
          </w:p>
        </w:tc>
        <w:tc>
          <w:tcPr>
            <w:tcW w:type="pct" w:w="48%"/>
            <w:tcMar>
              <w:top w:type="dxa" w:w="100"/>
              <w:left w:type="dxa" w:w="120"/>
              <w:bottom w:type="dxa" w:w="100"/>
              <w:right w:type="dxa" w:w="120"/>
            </w:tcMar>
          </w:tcPr>
          <w:p>
            <w:r>
              <w:rPr>
                <w:b w:val="false"/>
                <w:bCs w:val="false"/>
                <w:color w:val="1A1F1C"/>
                <w:sz w:val="20"/>
                <w:szCs w:val="20"/>
              </w:rPr>
              <w:t xml:space="preserve">Genuinely tabular data (dates, scores, several numeric columns) where comparing across rows matters.</w:t>
            </w:r>
          </w:p>
        </w:tc>
      </w:tr>
    </w:tbl>
    <w:p>
      <w:pPr>
        <w:spacing w:after="200"/>
      </w:pPr>
    </w:p>
    <w:p>
      <w:pPr>
        <w:spacing w:after="120"/>
      </w:pPr>
      <w:r>
        <w:rPr>
          <w:i w:val="false"/>
          <w:iCs w:val="false"/>
          <w:color w:val="1A1F1C"/>
          <w:sz w:val="21"/>
          <w:szCs w:val="21"/>
        </w:rPr>
        <w:t xml:space="preserve">On card rows with more metadata than fits a simple subtitle (e.g. Players — team, position, shirt number), use small inline pill tags rather than table columns, and let the action-links row wrap with flexWrap: "wrap" instead of scrolling.</w:t>
      </w:r>
    </w:p>
    <w:p>
      <w:pPr>
        <w:pStyle w:val="Heading2"/>
        <w:pBdr>
          <w:bottom w:val="single" w:color="E8A33D" w:sz="6" w:space="4"/>
        </w:pBdr>
        <w:spacing w:after="120" w:before="320"/>
      </w:pPr>
      <w:r>
        <w:rPr>
          <w:b/>
          <w:bCs/>
          <w:color w:val="0F3D2E"/>
          <w:sz w:val="24"/>
          <w:szCs w:val="24"/>
        </w:rPr>
        <w:t xml:space="preserve">5. Mobile responsiveness fixes</w:t>
      </w:r>
    </w:p>
    <w:p>
      <w:pPr>
        <w:spacing w:after="120"/>
      </w:pPr>
      <w:r>
        <w:rPr>
          <w:i w:val="false"/>
          <w:iCs w:val="false"/>
          <w:color w:val="1A1F1C"/>
          <w:sz w:val="21"/>
          <w:szCs w:val="21"/>
        </w:rPr>
        <w:t xml:space="preserve">A global overflow-x: hidden on html, body was added to stop wide content from dragging the whole page (including the sticky header) sideways. This has one important side effect to remember:</w:t>
      </w:r>
    </w:p>
    <w:p>
      <w:pPr>
        <w:pStyle w:val="ListParagraph"/>
        <w:numPr>
          <w:ilvl w:val="0"/>
          <w:numId w:val="2"/>
        </w:numPr>
        <w:spacing w:after="60"/>
      </w:pPr>
      <w:r>
        <w:rPr>
          <w:b/>
          <w:bCs/>
          <w:color w:val="1A1F1C"/>
          <w:sz w:val="21"/>
          <w:szCs w:val="21"/>
        </w:rPr>
        <w:t xml:space="preserve">Any table or grid wider than the viewport must have its own overflow-x: auto wrapper.</w:t>
      </w:r>
      <w:r>
        <w:rPr>
          <w:color w:val="1A1F1C"/>
          <w:sz w:val="21"/>
          <w:szCs w:val="21"/>
        </w:rPr>
        <w:t xml:space="preserve"> Once page-level horizontal scroll is disabled, an unwrapped wide element simply gets clipped with no way to reach the rest of it — this bug hit Schedule, Players, and Match Stats before the wrapper was added everywhere.</w:t>
      </w:r>
    </w:p>
    <w:p>
      <w:pPr>
        <w:spacing w:after="120"/>
      </w:pPr>
      <w:r>
        <w:rPr>
          <w:i w:val="false"/>
          <w:iCs w:val="false"/>
          <w:color w:val="1A1F1C"/>
          <w:sz w:val="21"/>
          <w:szCs w:val="21"/>
        </w:rPr>
        <w:t xml:space="preserve">Responsive grid classes added to globals.css and reused across pages:</w:t>
      </w:r>
    </w:p>
    <w:tbl>
      <w:tblPr>
        <w:tblW w:type="pct" w:w="100%"/>
        <w:tblBorders>
          <w:top w:val="single" w:color="E3DED2" w:sz="4"/>
          <w:left w:val="single" w:color="E3DED2" w:sz="4"/>
          <w:bottom w:val="single" w:color="E3DED2" w:sz="4"/>
          <w:right w:val="single" w:color="E3DED2" w:sz="4"/>
          <w:insideH w:val="single" w:color="E3DED2" w:sz="4"/>
          <w:insideV w:val="single" w:color="E3DED2" w:sz="4"/>
        </w:tblBorders>
      </w:tblPr>
      <w:tblGrid>
        <w:gridCol w:w="100"/>
        <w:gridCol w:w="100"/>
        <w:gridCol w:w="100"/>
      </w:tblGrid>
      <w:tr>
        <w:tc>
          <w:tcPr>
            <w:tcW w:type="pct" w:w="26%"/>
            <w:shd w:fill="0F3D2E" w:val="clear"/>
            <w:tcMar>
              <w:top w:type="dxa" w:w="100"/>
              <w:left w:type="dxa" w:w="120"/>
              <w:bottom w:type="dxa" w:w="100"/>
              <w:right w:type="dxa" w:w="120"/>
            </w:tcMar>
          </w:tcPr>
          <w:p>
            <w:r>
              <w:rPr>
                <w:b/>
                <w:bCs/>
                <w:color w:val="FFFFFF"/>
                <w:sz w:val="20"/>
                <w:szCs w:val="20"/>
              </w:rPr>
              <w:t xml:space="preserve">Class</w:t>
            </w:r>
          </w:p>
        </w:tc>
        <w:tc>
          <w:tcPr>
            <w:tcW w:type="pct" w:w="44%"/>
            <w:shd w:fill="0F3D2E" w:val="clear"/>
            <w:tcMar>
              <w:top w:type="dxa" w:w="100"/>
              <w:left w:type="dxa" w:w="120"/>
              <w:bottom w:type="dxa" w:w="100"/>
              <w:right w:type="dxa" w:w="120"/>
            </w:tcMar>
          </w:tcPr>
          <w:p>
            <w:r>
              <w:rPr>
                <w:b/>
                <w:bCs/>
                <w:color w:val="FFFFFF"/>
                <w:sz w:val="20"/>
                <w:szCs w:val="20"/>
              </w:rPr>
              <w:t xml:space="preserve">Layout</w:t>
            </w:r>
          </w:p>
        </w:tc>
        <w:tc>
          <w:tcPr>
            <w:tcW w:type="pct" w:w="30%"/>
            <w:shd w:fill="0F3D2E" w:val="clear"/>
            <w:tcMar>
              <w:top w:type="dxa" w:w="100"/>
              <w:left w:type="dxa" w:w="120"/>
              <w:bottom w:type="dxa" w:w="100"/>
              <w:right w:type="dxa" w:w="120"/>
            </w:tcMar>
          </w:tcPr>
          <w:p>
            <w:r>
              <w:rPr>
                <w:b/>
                <w:bCs/>
                <w:color w:val="FFFFFF"/>
                <w:sz w:val="20"/>
                <w:szCs w:val="20"/>
              </w:rPr>
              <w:t xml:space="preserve">Collapses to 1 column below</w:t>
            </w:r>
          </w:p>
        </w:tc>
      </w:tr>
      <w:tr>
        <w:tc>
          <w:tcPr>
            <w:tcW w:type="pct" w:w="26%"/>
            <w:tcMar>
              <w:top w:type="dxa" w:w="100"/>
              <w:left w:type="dxa" w:w="120"/>
              <w:bottom w:type="dxa" w:w="100"/>
              <w:right w:type="dxa" w:w="120"/>
            </w:tcMar>
          </w:tcPr>
          <w:p>
            <w:r>
              <w:rPr>
                <w:b w:val="false"/>
                <w:bCs w:val="false"/>
                <w:color w:val="1A1F1C"/>
                <w:sz w:val="20"/>
                <w:szCs w:val="20"/>
              </w:rPr>
              <w:t xml:space="preserve">.report-grid</w:t>
            </w:r>
          </w:p>
        </w:tc>
        <w:tc>
          <w:tcPr>
            <w:tcW w:type="pct" w:w="44%"/>
            <w:tcMar>
              <w:top w:type="dxa" w:w="100"/>
              <w:left w:type="dxa" w:w="120"/>
              <w:bottom w:type="dxa" w:w="100"/>
              <w:right w:type="dxa" w:w="120"/>
            </w:tcMar>
          </w:tcPr>
          <w:p>
            <w:r>
              <w:rPr>
                <w:b w:val="false"/>
                <w:bCs w:val="false"/>
                <w:color w:val="1A1F1C"/>
                <w:sz w:val="20"/>
                <w:szCs w:val="20"/>
              </w:rPr>
              <w:t xml:space="preserve">1fr 1fr (two charts side by side)</w:t>
            </w:r>
          </w:p>
        </w:tc>
        <w:tc>
          <w:tcPr>
            <w:tcW w:type="pct" w:w="30%"/>
            <w:tcMar>
              <w:top w:type="dxa" w:w="100"/>
              <w:left w:type="dxa" w:w="120"/>
              <w:bottom w:type="dxa" w:w="100"/>
              <w:right w:type="dxa" w:w="120"/>
            </w:tcMar>
          </w:tcPr>
          <w:p>
            <w:r>
              <w:rPr>
                <w:b w:val="false"/>
                <w:bCs w:val="false"/>
                <w:color w:val="1A1F1C"/>
                <w:sz w:val="20"/>
                <w:szCs w:val="20"/>
              </w:rPr>
              <w:t xml:space="preserve">768px</w:t>
            </w:r>
          </w:p>
        </w:tc>
      </w:tr>
      <w:tr>
        <w:tc>
          <w:tcPr>
            <w:tcW w:type="pct" w:w="26%"/>
            <w:tcMar>
              <w:top w:type="dxa" w:w="100"/>
              <w:left w:type="dxa" w:w="120"/>
              <w:bottom w:type="dxa" w:w="100"/>
              <w:right w:type="dxa" w:w="120"/>
            </w:tcMar>
          </w:tcPr>
          <w:p>
            <w:r>
              <w:rPr>
                <w:b w:val="false"/>
                <w:bCs w:val="false"/>
                <w:color w:val="1A1F1C"/>
                <w:sz w:val="20"/>
                <w:szCs w:val="20"/>
              </w:rPr>
              <w:t xml:space="preserve">.chart-grid-3</w:t>
            </w:r>
          </w:p>
        </w:tc>
        <w:tc>
          <w:tcPr>
            <w:tcW w:type="pct" w:w="44%"/>
            <w:tcMar>
              <w:top w:type="dxa" w:w="100"/>
              <w:left w:type="dxa" w:w="120"/>
              <w:bottom w:type="dxa" w:w="100"/>
              <w:right w:type="dxa" w:w="120"/>
            </w:tcMar>
          </w:tcPr>
          <w:p>
            <w:r>
              <w:rPr>
                <w:b w:val="false"/>
                <w:bCs w:val="false"/>
                <w:color w:val="1A1F1C"/>
                <w:sz w:val="20"/>
                <w:szCs w:val="20"/>
              </w:rPr>
              <w:t xml:space="preserve">repeat(3, 1fr) (three charts)</w:t>
            </w:r>
          </w:p>
        </w:tc>
        <w:tc>
          <w:tcPr>
            <w:tcW w:type="pct" w:w="30%"/>
            <w:tcMar>
              <w:top w:type="dxa" w:w="100"/>
              <w:left w:type="dxa" w:w="120"/>
              <w:bottom w:type="dxa" w:w="100"/>
              <w:right w:type="dxa" w:w="120"/>
            </w:tcMar>
          </w:tcPr>
          <w:p>
            <w:r>
              <w:rPr>
                <w:b w:val="false"/>
                <w:bCs w:val="false"/>
                <w:color w:val="1A1F1C"/>
                <w:sz w:val="20"/>
                <w:szCs w:val="20"/>
              </w:rPr>
              <w:t xml:space="preserve">900px</w:t>
            </w:r>
          </w:p>
        </w:tc>
      </w:tr>
      <w:tr>
        <w:tc>
          <w:tcPr>
            <w:tcW w:type="pct" w:w="26%"/>
            <w:tcMar>
              <w:top w:type="dxa" w:w="100"/>
              <w:left w:type="dxa" w:w="120"/>
              <w:bottom w:type="dxa" w:w="100"/>
              <w:right w:type="dxa" w:w="120"/>
            </w:tcMar>
          </w:tcPr>
          <w:p>
            <w:r>
              <w:rPr>
                <w:b w:val="false"/>
                <w:bCs w:val="false"/>
                <w:color w:val="1A1F1C"/>
                <w:sz w:val="20"/>
                <w:szCs w:val="20"/>
              </w:rPr>
              <w:t xml:space="preserve">.stat-summary-grid</w:t>
            </w:r>
          </w:p>
        </w:tc>
        <w:tc>
          <w:tcPr>
            <w:tcW w:type="pct" w:w="44%"/>
            <w:tcMar>
              <w:top w:type="dxa" w:w="100"/>
              <w:left w:type="dxa" w:w="120"/>
              <w:bottom w:type="dxa" w:w="100"/>
              <w:right w:type="dxa" w:w="120"/>
            </w:tcMar>
          </w:tcPr>
          <w:p>
            <w:r>
              <w:rPr>
                <w:b w:val="false"/>
                <w:bCs w:val="false"/>
                <w:color w:val="1A1F1C"/>
                <w:sz w:val="20"/>
                <w:szCs w:val="20"/>
              </w:rPr>
              <w:t xml:space="preserve">repeat(5, 1fr) (summary tiles)</w:t>
            </w:r>
          </w:p>
        </w:tc>
        <w:tc>
          <w:tcPr>
            <w:tcW w:type="pct" w:w="30%"/>
            <w:tcMar>
              <w:top w:type="dxa" w:w="100"/>
              <w:left w:type="dxa" w:w="120"/>
              <w:bottom w:type="dxa" w:w="100"/>
              <w:right w:type="dxa" w:w="120"/>
            </w:tcMar>
          </w:tcPr>
          <w:p>
            <w:r>
              <w:rPr>
                <w:b w:val="false"/>
                <w:bCs w:val="false"/>
                <w:color w:val="1A1F1C"/>
                <w:sz w:val="20"/>
                <w:szCs w:val="20"/>
              </w:rPr>
              <w:t xml:space="preserve">700px (becomes 2 columns)</w:t>
            </w:r>
          </w:p>
        </w:tc>
      </w:tr>
    </w:tbl>
    <w:p>
      <w:pPr>
        <w:spacing w:after="200"/>
      </w:pPr>
    </w:p>
    <w:p>
      <w:pPr>
        <w:spacing w:after="120"/>
      </w:pPr>
      <w:r>
        <w:rPr>
          <w:i w:val="false"/>
          <w:iCs w:val="false"/>
          <w:color w:val="1A1F1C"/>
          <w:sz w:val="21"/>
          <w:szCs w:val="21"/>
        </w:rPr>
        <w:t xml:space="preserve">Checklist for any new page with a table: wrap it in overflowX: "auto", give the table a minWidth so columns don't compress illegibly, and add whiteSpace: "nowrap" to any cell containing multiple inline action links or a date/time string.</w:t>
      </w:r>
    </w:p>
    <w:p>
      <w:pPr>
        <w:pStyle w:val="Heading2"/>
        <w:pBdr>
          <w:bottom w:val="single" w:color="E8A33D" w:sz="6" w:space="4"/>
        </w:pBdr>
        <w:spacing w:after="120" w:before="320"/>
      </w:pPr>
      <w:r>
        <w:rPr>
          <w:b/>
          <w:bCs/>
          <w:color w:val="0F3D2E"/>
          <w:sz w:val="24"/>
          <w:szCs w:val="24"/>
        </w:rPr>
        <w:t xml:space="preserve">6. Form input styling</w:t>
      </w:r>
    </w:p>
    <w:p>
      <w:pPr>
        <w:pStyle w:val="Heading3"/>
        <w:spacing w:after="80" w:before="200"/>
      </w:pPr>
      <w:r>
        <w:rPr>
          <w:b/>
          <w:bCs/>
          <w:color w:val="1A1F1C"/>
          <w:sz w:val="21"/>
          <w:szCs w:val="21"/>
        </w:rPr>
        <w:t xml:space="preserve">Stepper control for numeric stats</w:t>
      </w:r>
    </w:p>
    <w:p>
      <w:pPr>
        <w:spacing w:after="120"/>
      </w:pPr>
      <w:r>
        <w:rPr>
          <w:i w:val="false"/>
          <w:iCs w:val="false"/>
          <w:color w:val="1A1F1C"/>
          <w:sz w:val="21"/>
          <w:szCs w:val="21"/>
        </w:rPr>
        <w:t xml:space="preserve">Raw &lt;input type="number"&gt; was replaced with a custom stepper (−, centered value, +) on the Match Stats form. Reasons: consistent rendering across browsers, and far larger tap targets on mobile than the native spinner arrows.</w:t>
      </w:r>
    </w:p>
    <w:p>
      <w:pPr>
        <w:pStyle w:val="Heading3"/>
        <w:spacing w:after="80" w:before="200"/>
      </w:pPr>
      <w:r>
        <w:rPr>
          <w:b/>
          <w:bCs/>
          <w:color w:val="1A1F1C"/>
          <w:sz w:val="21"/>
          <w:szCs w:val="21"/>
        </w:rPr>
        <w:t xml:space="preserve">Data-integrity rule for collapsible forms</w:t>
      </w:r>
    </w:p>
    <w:p>
      <w:pPr>
        <w:spacing w:after="120"/>
      </w:pPr>
      <w:r>
        <w:rPr>
          <w:i w:val="false"/>
          <w:iCs w:val="false"/>
          <w:color w:val="1A1F1C"/>
          <w:sz w:val="21"/>
          <w:szCs w:val="21"/>
        </w:rPr>
        <w:t xml:space="preserve">Critical pattern worth calling out for any future accordion-style form: inputs for a collapsed section must stay mounted in the DOM (hidden with display: "none") rather than conditionally rendered ({isOpen &amp;&amp; (...)}).</w:t>
      </w:r>
    </w:p>
    <w:p>
      <w:pPr>
        <w:pStyle w:val="ListParagraph"/>
        <w:numPr>
          <w:ilvl w:val="0"/>
          <w:numId w:val="2"/>
        </w:numPr>
        <w:spacing w:after="60"/>
      </w:pPr>
      <w:r>
        <w:rPr>
          <w:b/>
          <w:bCs/>
          <w:color w:val="1A1F1C"/>
          <w:sz w:val="21"/>
          <w:szCs w:val="21"/>
        </w:rPr>
        <w:t xml:space="preserve">Why it matters: </w:t>
      </w:r>
      <w:r>
        <w:rPr>
          <w:color w:val="1A1F1C"/>
          <w:sz w:val="21"/>
          <w:szCs w:val="21"/>
        </w:rPr>
        <w:t xml:space="preserve">a form submits whatever inputs exist in the DOM at submit time. If a player's row was never expanded, its inputs never existed, and the server action received no value for those fields — which was being interpreted as 0, silently zeroing out previously saved stats for every player except whichever row happened to be open at save time.</w:t>
      </w:r>
    </w:p>
    <w:p>
      <w:pPr>
        <w:pStyle w:val="Heading2"/>
        <w:pBdr>
          <w:bottom w:val="single" w:color="E8A33D" w:sz="6" w:space="4"/>
        </w:pBdr>
        <w:spacing w:after="120" w:before="320"/>
      </w:pPr>
      <w:r>
        <w:rPr>
          <w:b/>
          <w:bCs/>
          <w:color w:val="0F3D2E"/>
          <w:sz w:val="24"/>
          <w:szCs w:val="24"/>
        </w:rPr>
        <w:t xml:space="preserve">7. Quick reference checklist for new pages</w:t>
      </w:r>
    </w:p>
    <w:p>
      <w:pPr>
        <w:pStyle w:val="ListParagraph"/>
        <w:numPr>
          <w:ilvl w:val="0"/>
          <w:numId w:val="2"/>
        </w:numPr>
        <w:spacing w:after="60"/>
      </w:pPr>
      <w:r>
        <w:rPr>
          <w:color w:val="1A1F1C"/>
          <w:sz w:val="21"/>
          <w:szCs w:val="21"/>
        </w:rPr>
        <w:t xml:space="preserve">Wrap chart containers and table containers in the shared cardStyle (white, 1px #e3ded2 border, 8px radius).</w:t>
      </w:r>
    </w:p>
    <w:p>
      <w:pPr>
        <w:pStyle w:val="ListParagraph"/>
        <w:numPr>
          <w:ilvl w:val="0"/>
          <w:numId w:val="2"/>
        </w:numPr>
        <w:spacing w:after="60"/>
      </w:pPr>
      <w:r>
        <w:rPr>
          <w:color w:val="1A1F1C"/>
          <w:sz w:val="21"/>
          <w:szCs w:val="21"/>
        </w:rPr>
        <w:t xml:space="preserve">Add a ChartLegend above any single-series bar chart.</w:t>
      </w:r>
    </w:p>
    <w:p>
      <w:pPr>
        <w:pStyle w:val="ListParagraph"/>
        <w:numPr>
          <w:ilvl w:val="0"/>
          <w:numId w:val="2"/>
        </w:numPr>
        <w:spacing w:after="60"/>
      </w:pPr>
      <w:r>
        <w:rPr>
          <w:color w:val="1A1F1C"/>
          <w:sz w:val="21"/>
          <w:szCs w:val="21"/>
        </w:rPr>
        <w:t xml:space="preserve">Choose card-row vs. table deliberately: entities/people → card-row; tabular records → bordered table.</w:t>
      </w:r>
    </w:p>
    <w:p>
      <w:pPr>
        <w:pStyle w:val="ListParagraph"/>
        <w:numPr>
          <w:ilvl w:val="0"/>
          <w:numId w:val="2"/>
        </w:numPr>
        <w:spacing w:after="60"/>
      </w:pPr>
      <w:r>
        <w:rPr>
          <w:color w:val="1A1F1C"/>
          <w:sz w:val="21"/>
          <w:szCs w:val="21"/>
        </w:rPr>
        <w:t xml:space="preserve">Wrap any table that could exceed viewport width in overflowX: "auto" with a minWidth set.</w:t>
      </w:r>
    </w:p>
    <w:p>
      <w:pPr>
        <w:pStyle w:val="ListParagraph"/>
        <w:numPr>
          <w:ilvl w:val="0"/>
          <w:numId w:val="2"/>
        </w:numPr>
        <w:spacing w:after="60"/>
      </w:pPr>
      <w:r>
        <w:rPr>
          <w:color w:val="1A1F1C"/>
          <w:sz w:val="21"/>
          <w:szCs w:val="21"/>
        </w:rPr>
        <w:t xml:space="preserve">Use the existing .report-grid / .chart-grid-3 / .stat-summary-grid classes for multi-column layouts instead of new inline grid styles, where the column count matches.</w:t>
      </w:r>
    </w:p>
    <w:p>
      <w:pPr>
        <w:pStyle w:val="ListParagraph"/>
        <w:numPr>
          <w:ilvl w:val="0"/>
          <w:numId w:val="2"/>
        </w:numPr>
        <w:spacing w:after="60"/>
      </w:pPr>
      <w:r>
        <w:rPr>
          <w:color w:val="1A1F1C"/>
          <w:sz w:val="21"/>
          <w:szCs w:val="21"/>
        </w:rPr>
        <w:t xml:space="preserve">For any collapsible/accordion form, keep all inputs mounted and toggle visibility with CSS, never conditional rendering.</w:t>
      </w:r>
    </w:p>
    <w:p>
      <w:pPr>
        <w:pStyle w:val="ListParagraph"/>
        <w:numPr>
          <w:ilvl w:val="0"/>
          <w:numId w:val="2"/>
        </w:numPr>
        <w:spacing w:after="60"/>
      </w:pPr>
      <w:r>
        <w:rPr>
          <w:color w:val="1A1F1C"/>
          <w:sz w:val="21"/>
          <w:szCs w:val="21"/>
        </w:rPr>
        <w:t xml:space="preserve">Group new sidebar links into the existing Roster / Operations / Reports / Content / Admin sections rather than creating a new top-level group unless the item genuinely doesn't fit any of them.</w:t>
      </w:r>
    </w:p>
    <w:p>
      <w:pPr>
        <w:spacing w:before="300"/>
      </w:pPr>
      <w:r>
        <w:rPr>
          <w:sz w:val="2"/>
          <w:szCs w:val="2"/>
        </w:rPr>
        <w:t xml:space="preserve"/>
      </w:r>
    </w:p>
    <w:p>
      <w:pPr>
        <w:pBdr>
          <w:top w:val="single" w:color="E3DED2" w:sz="4" w:space="6"/>
        </w:pBdr>
        <w:spacing w:before="200"/>
      </w:pPr>
      <w:r>
        <w:rPr>
          <w:i/>
          <w:iCs/>
          <w:color w:val="5B5B55"/>
          <w:sz w:val="18"/>
          <w:szCs w:val="18"/>
        </w:rPr>
        <w:t xml:space="preserve">Prepared for internal team reference — soccer-academy-platform admin panel.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2026-09-24T01:38:58.001Z</dcterms:created>
  <dcterms:modified xsi:type="dcterms:W3CDTF">2026-09-24T01:38:58.006Z</dcterms:modified>
</cp:coreProperties>
</file>

<file path=docProps/custom.xml><?xml version="1.0" encoding="utf-8"?>
<Properties xmlns="http://schemas.openxmlformats.org/officeDocument/2006/custom-properties" xmlns:vt="http://schemas.openxmlformats.org/officeDocument/2006/docPropsVTypes"/>
</file>