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样本选择与数据来源</w:t>
      </w:r>
    </w:p>
    <w:p>
      <w:pPr>
        <w:spacing w:line="360" w:lineRule="auto"/>
        <w:ind w:firstLine="420" w:firstLineChars="200"/>
        <w:rPr>
          <w:rFonts w:hint="eastAsia" w:ascii="宋体" w:hAnsi="宋体" w:eastAsia="宋体" w:cs="宋体"/>
          <w:b w:val="0"/>
          <w:bCs w:val="0"/>
          <w:color w:val="0000FF"/>
          <w:lang w:val="en-US" w:eastAsia="zh-CN"/>
        </w:rPr>
      </w:pPr>
      <w:r>
        <w:rPr>
          <w:rFonts w:hint="eastAsia" w:ascii="宋体" w:hAnsi="宋体" w:eastAsia="宋体" w:cs="宋体"/>
          <w:b w:val="0"/>
          <w:bCs w:val="0"/>
          <w:lang w:val="en-US" w:eastAsia="zh-CN"/>
        </w:rPr>
        <w:t>本文以</w:t>
      </w:r>
      <w:r>
        <w:rPr>
          <w:rFonts w:hint="eastAsia" w:ascii="宋体" w:hAnsi="宋体" w:eastAsia="宋体" w:cs="宋体"/>
          <w:b w:val="0"/>
          <w:bCs w:val="0"/>
          <w:color w:val="0000FF"/>
          <w:lang w:val="en-US" w:eastAsia="zh-CN"/>
        </w:rPr>
        <w:t>2016–2025</w:t>
      </w:r>
      <w:r>
        <w:rPr>
          <w:rFonts w:hint="eastAsia" w:ascii="宋体" w:hAnsi="宋体" w:eastAsia="宋体" w:cs="宋体"/>
          <w:b w:val="0"/>
          <w:bCs w:val="0"/>
          <w:lang w:val="en-US" w:eastAsia="zh-CN"/>
        </w:rPr>
        <w:t>年美国对华加征关税的产品清单、中国海关总署统计的HS8位产品对美出口额、FactSet全球供应链数据库中企业间的动态合作关系以及企业财务数据为初始样本，</w:t>
      </w:r>
      <w:r>
        <w:rPr>
          <w:rFonts w:hint="eastAsia" w:ascii="宋体" w:hAnsi="宋体" w:eastAsia="宋体" w:cs="宋体"/>
          <w:b w:val="0"/>
          <w:bCs w:val="0"/>
          <w:color w:val="0000FF"/>
          <w:lang w:val="en-US" w:eastAsia="zh-CN"/>
        </w:rPr>
        <w:t>涵盖301条款四份清单、232条款措施、历年豁免清单及最惠国待遇税率</w:t>
      </w:r>
      <w:r>
        <w:rPr>
          <w:rFonts w:hint="eastAsia" w:ascii="宋体" w:hAnsi="宋体" w:eastAsia="宋体" w:cs="宋体"/>
          <w:b w:val="0"/>
          <w:bCs w:val="0"/>
          <w:lang w:val="en-US" w:eastAsia="zh-CN"/>
        </w:rPr>
        <w:t>。通过合并多源关税数据计算产品层面的</w:t>
      </w:r>
      <w:r>
        <w:rPr>
          <w:rFonts w:hint="eastAsia" w:ascii="宋体" w:hAnsi="宋体" w:eastAsia="宋体" w:cs="宋体"/>
          <w:b w:val="0"/>
          <w:bCs w:val="0"/>
          <w:color w:val="0000FF"/>
          <w:lang w:val="en-US" w:eastAsia="zh-CN"/>
        </w:rPr>
        <w:t>月度从价</w:t>
      </w:r>
      <w:r>
        <w:rPr>
          <w:rFonts w:hint="eastAsia" w:ascii="宋体" w:hAnsi="宋体" w:eastAsia="宋体" w:cs="宋体"/>
          <w:b w:val="0"/>
          <w:bCs w:val="0"/>
          <w:lang w:val="en-US" w:eastAsia="zh-CN"/>
        </w:rPr>
        <w:t>税率，将关税通过产品与行业归属映射至企业层面构建关税暴露度指标，同时依据FactSet供应链关系构建时间切片下的企业动态网络，剔除核心变量缺失的样本后，最终获得约</w:t>
      </w:r>
      <w:r>
        <w:rPr>
          <w:rFonts w:hint="eastAsia" w:ascii="宋体" w:hAnsi="宋体" w:eastAsia="宋体" w:cs="宋体"/>
          <w:b w:val="0"/>
          <w:bCs w:val="0"/>
          <w:color w:val="0000FF"/>
          <w:lang w:val="en-US" w:eastAsia="zh-CN"/>
        </w:rPr>
        <w:t>。。。</w:t>
      </w:r>
      <w:r>
        <w:rPr>
          <w:rFonts w:hint="eastAsia" w:ascii="宋体" w:hAnsi="宋体" w:eastAsia="宋体" w:cs="宋体"/>
          <w:b w:val="0"/>
          <w:bCs w:val="0"/>
          <w:lang w:val="en-US" w:eastAsia="zh-CN"/>
        </w:rPr>
        <w:t>个企业‑年度有效观测值。数据来源如下：关税基础税率来自美国国际贸易委员会（USITC）数据库；301条款清单、232条款及数据来自美国贸易代表署（USTR）；豁免清单及HTS编码来自美国协调关税税则（HTS）官网；供应链关系数据来自FactSet；中国对美出口数据来自中国海关总署；企业财务数据来自CSMAR数据库；行业分类匹配依据《国民经济行业分类》（GB/T 4754–2017）。</w:t>
      </w:r>
      <w:r>
        <w:rPr>
          <w:rFonts w:hint="eastAsia" w:ascii="宋体" w:hAnsi="宋体" w:eastAsia="宋体" w:cs="宋体"/>
          <w:b w:val="0"/>
          <w:bCs w:val="0"/>
          <w:color w:val="0000FF"/>
          <w:lang w:val="en-US" w:eastAsia="zh-CN"/>
        </w:rPr>
        <w:t>本文为控制极端观测值的潜在传导效应，对所有连续变量实施双侧1%分位数缩尾处理，并在回归分析中采用企业层面的聚类稳健标准误。</w:t>
      </w:r>
    </w:p>
    <w:p>
      <w:pPr>
        <w:spacing w:line="360" w:lineRule="auto"/>
        <w:ind w:firstLine="420" w:firstLineChars="200"/>
        <w:rPr>
          <w:rFonts w:hint="eastAsia" w:ascii="宋体" w:hAnsi="宋体" w:eastAsia="宋体" w:cs="宋体"/>
          <w:b w:val="0"/>
          <w:bCs w:val="0"/>
          <w:color w:val="0000FF"/>
          <w:lang w:val="en-US" w:eastAsia="zh-CN"/>
        </w:rPr>
      </w:pPr>
      <w:r>
        <w:rPr>
          <w:rFonts w:hint="eastAsia" w:ascii="宋体" w:hAnsi="宋体" w:eastAsia="宋体" w:cs="宋体"/>
          <w:b w:val="0"/>
          <w:bCs w:val="0"/>
          <w:color w:val="0000FF"/>
          <w:lang w:val="en-US" w:eastAsia="zh-CN"/>
        </w:rPr>
        <w:t>数据对齐：针对月度税率与年度财务特征的频率失配，采用时间维度聚合或周期性平滑技术，确保特征工程在时序步长上的一致性。</w:t>
      </w:r>
    </w:p>
    <w:p>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特征工程与图数据定义</w:t>
      </w:r>
    </w:p>
    <w:p>
      <w:pPr>
        <w:spacing w:line="360" w:lineRule="auto"/>
        <w:ind w:firstLine="420" w:firstLineChars="200"/>
        <w:rPr>
          <w:rFonts w:hint="default" w:ascii="宋体" w:hAnsi="宋体" w:eastAsia="宋体" w:cs="宋体"/>
          <w:b w:val="0"/>
          <w:bCs w:val="0"/>
          <w:lang w:val="en-US" w:eastAsia="zh-CN"/>
        </w:rPr>
      </w:pPr>
      <w:r>
        <w:rPr>
          <w:rFonts w:hint="default" w:ascii="宋体" w:hAnsi="宋体" w:eastAsia="宋体" w:cs="宋体"/>
          <w:b w:val="0"/>
          <w:bCs w:val="0"/>
          <w:lang w:val="en-US" w:eastAsia="zh-CN"/>
        </w:rPr>
        <w:t>本研究将多源异构数据映射至图空间，构建动态企业特征矩阵与时空拓扑结构，通过学习节点与边的嵌入表示（Embeddings）来捕捉关税冲击的传导效应。</w:t>
      </w:r>
    </w:p>
    <w:p>
      <w:pPr>
        <w:spacing w:line="360" w:lineRule="auto"/>
        <w:ind w:firstLine="420" w:firstLineChars="200"/>
        <w:rPr>
          <w:rFonts w:hint="default" w:hAnsi="DejaVu Math TeX Gyre" w:eastAsia="宋体" w:cs="宋体"/>
          <w:b w:val="0"/>
          <w:bCs w:val="0"/>
          <w:i w:val="0"/>
          <w:lang w:val="en-US" w:eastAsia="zh-CN"/>
        </w:rPr>
      </w:pPr>
      <w:bookmarkStart w:id="0" w:name="_GoBack"/>
      <w:bookmarkEnd w:id="0"/>
      <w:r>
        <w:rPr>
          <w:rFonts w:hint="eastAsia" w:ascii="宋体" w:hAnsi="宋体" w:eastAsia="宋体" w:cs="宋体"/>
          <w:b w:val="0"/>
          <w:bCs w:val="0"/>
          <w:lang w:val="en-US" w:eastAsia="zh-CN"/>
        </w:rPr>
        <w:t>本文构建包含核心冲击特征与辅助控制特征的节点特征向量</w:t>
      </w:r>
      <m:oMath>
        <m:sSub>
          <m:sSubPr>
            <m:ctrlPr>
              <w:rPr>
                <w:rFonts w:hint="default" w:ascii="DejaVu Math TeX Gyre" w:hAnsi="DejaVu Math TeX Gyre" w:eastAsia="宋体" w:cs="宋体"/>
                <w:b w:val="0"/>
                <w:bCs w:val="0"/>
                <w:lang w:val="en-US" w:eastAsia="zh-CN"/>
              </w:rPr>
            </m:ctrlPr>
          </m:sSubPr>
          <m:e>
            <m:r>
              <m:rPr>
                <m:sty m:val="p"/>
              </m:rPr>
              <w:rPr>
                <w:rFonts w:hint="default" w:ascii="DejaVu Math TeX Gyre" w:hAnsi="DejaVu Math TeX Gyre" w:eastAsia="宋体" w:cs="宋体"/>
                <w:lang w:val="en-US" w:eastAsia="zh-CN"/>
              </w:rPr>
              <m:t xml:space="preserve"> </m:t>
            </m:r>
            <m:r>
              <m:rPr>
                <m:sty m:val="p"/>
              </m:rPr>
              <w:rPr>
                <w:rFonts w:hint="eastAsia" w:ascii="DejaVu Math TeX Gyre" w:hAnsi="DejaVu Math TeX Gyre" w:eastAsia="宋体" w:cs="宋体"/>
                <w:lang w:val="en-US" w:eastAsia="zh-CN"/>
              </w:rPr>
              <m:t>X</m:t>
            </m:r>
            <m:ctrlPr>
              <w:rPr>
                <w:rFonts w:hint="default" w:ascii="DejaVu Math TeX Gyre" w:hAnsi="DejaVu Math TeX Gyre" w:eastAsia="宋体" w:cs="宋体"/>
                <w:b w:val="0"/>
                <w:bCs w:val="0"/>
                <w:lang w:val="en-US" w:eastAsia="zh-CN"/>
              </w:rPr>
            </m:ctrlPr>
          </m:e>
          <m:sub>
            <m:r>
              <m:rPr>
                <m:sty m:val="p"/>
              </m:rPr>
              <w:rPr>
                <w:rFonts w:hint="default" w:ascii="DejaVu Math TeX Gyre" w:hAnsi="DejaVu Math TeX Gyre" w:eastAsia="宋体" w:cs="宋体"/>
                <w:lang w:val="en-US" w:eastAsia="zh-CN"/>
              </w:rPr>
              <m:t>i,</m:t>
            </m:r>
            <m:r>
              <m:rPr>
                <m:sty m:val="p"/>
              </m:rPr>
              <w:rPr>
                <w:rFonts w:hint="eastAsia" w:ascii="DejaVu Math TeX Gyre" w:hAnsi="DejaVu Math TeX Gyre" w:eastAsia="宋体" w:cs="宋体"/>
                <w:lang w:val="en-US" w:eastAsia="zh-CN"/>
              </w:rPr>
              <m:t>t</m:t>
            </m:r>
            <m:ctrlPr>
              <w:rPr>
                <w:rFonts w:hint="default" w:ascii="DejaVu Math TeX Gyre" w:hAnsi="DejaVu Math TeX Gyre" w:eastAsia="宋体" w:cs="宋体"/>
                <w:b w:val="0"/>
                <w:bCs w:val="0"/>
                <w:lang w:val="en-US" w:eastAsia="zh-CN"/>
              </w:rPr>
            </m:ctrlPr>
          </m:sub>
        </m:sSub>
      </m:oMath>
    </w:p>
    <w:p>
      <w:pPr>
        <w:spacing w:line="360" w:lineRule="auto"/>
        <w:rPr>
          <w:rFonts w:hint="eastAsia" w:ascii="宋体" w:hAnsi="宋体" w:eastAsia="宋体" w:cs="宋体"/>
          <w:b w:val="0"/>
          <w:bCs w:val="0"/>
          <w:lang w:val="en-US" w:eastAsia="zh-CN"/>
        </w:rPr>
      </w:pPr>
      <w:r>
        <w:rPr>
          <w:rFonts w:hint="eastAsia" w:hAnsi="DejaVu Math TeX Gyre" w:eastAsia="宋体" w:cs="宋体"/>
          <w:b w:val="0"/>
          <w:bCs w:val="0"/>
          <w:i w:val="0"/>
          <w:lang w:val="en-US" w:eastAsia="zh-CN"/>
        </w:rPr>
        <w:t>1. 核心输入：关税暴露度（</w:t>
      </w:r>
      <w:r>
        <w:rPr>
          <w:rFonts w:hint="eastAsia" w:ascii="宋体" w:hAnsi="宋体" w:eastAsia="宋体" w:cs="宋体"/>
          <w:b w:val="0"/>
          <w:bCs w:val="0"/>
          <w:lang w:val="en-US" w:eastAsia="zh-CN"/>
        </w:rPr>
        <w:t>Tariff Exposure）</w:t>
      </w:r>
    </w:p>
    <w:p>
      <w:pPr>
        <w:spacing w:line="360" w:lineRule="auto"/>
        <w:ind w:firstLine="420" w:firstLineChars="200"/>
        <w:rPr>
          <w:rFonts w:hint="eastAsia" w:ascii="宋体" w:hAnsi="宋体" w:eastAsia="宋体" w:cs="宋体"/>
          <w:b w:val="0"/>
          <w:bCs w:val="0"/>
          <w:lang w:val="en-US" w:eastAsia="zh-CN"/>
        </w:rPr>
      </w:pPr>
      <w:r>
        <w:rPr>
          <w:rFonts w:hint="eastAsia" w:ascii="宋体" w:hAnsi="宋体" w:eastAsia="宋体" w:cs="宋体"/>
          <w:b w:val="0"/>
          <w:bCs w:val="0"/>
          <w:lang w:val="en-US" w:eastAsia="zh-CN"/>
        </w:rPr>
        <w:t>本文参考Fan et al.（2023）的做法，构建美国对中国的关税暴露度</w:t>
      </w:r>
      <w:r>
        <w:rPr>
          <w:rFonts w:hint="default" w:ascii="宋体" w:hAnsi="宋体" w:eastAsia="宋体" w:cs="宋体"/>
          <w:b w:val="0"/>
          <w:bCs w:val="0"/>
          <w:lang w:val="en-US" w:eastAsia="zh-CN"/>
        </w:rPr>
        <w:t>作为主要的节点属性 (Node Attribute)，反映企业面临的外生冲击强度。为克服内生性，本文以 2016 年为基期固定出口权重，构建外生的政策冲击指标</w:t>
      </w:r>
      <w:r>
        <w:rPr>
          <w:rFonts w:hint="eastAsia" w:ascii="宋体" w:hAnsi="宋体" w:eastAsia="宋体" w:cs="宋体"/>
          <w:b w:val="0"/>
          <w:bCs w:val="0"/>
          <w:lang w:val="en-US" w:eastAsia="zh-CN"/>
        </w:rPr>
        <w:t>，具体计算公式及含义如下：</w:t>
      </w:r>
    </w:p>
    <w:p>
      <w:pPr>
        <w:spacing w:line="360" w:lineRule="auto"/>
        <w:ind w:firstLine="420" w:firstLineChars="200"/>
        <w:rPr>
          <w:rFonts w:hint="default" w:ascii="宋体" w:hAnsi="宋体" w:eastAsia="宋体" w:cs="宋体"/>
          <w:b w:val="0"/>
          <w:bCs w:val="0"/>
          <w:lang w:val="en-US" w:eastAsia="zh-CN"/>
        </w:rPr>
      </w:pPr>
      <w:r>
        <w:rPr>
          <w:rFonts w:hint="default" w:ascii="宋体" w:hAnsi="宋体" w:eastAsia="宋体" w:cs="宋体"/>
          <w:b w:val="0"/>
          <w:bCs w:val="0"/>
          <w:lang w:val="en-US" w:eastAsia="zh-CN"/>
        </w:rPr>
        <w:drawing>
          <wp:inline distT="0" distB="0" distL="114300" distR="114300">
            <wp:extent cx="5271135" cy="2796540"/>
            <wp:effectExtent l="0" t="0" r="12065" b="22860"/>
            <wp:docPr id="1" name="图片 1" descr="截屏2026-03-08 16.5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截屏2026-03-08 16.56.16"/>
                    <pic:cNvPicPr>
                      <a:picLocks noChangeAspect="1"/>
                    </pic:cNvPicPr>
                  </pic:nvPicPr>
                  <pic:blipFill>
                    <a:blip r:embed="rId4"/>
                    <a:stretch>
                      <a:fillRect/>
                    </a:stretch>
                  </pic:blipFill>
                  <pic:spPr>
                    <a:xfrm>
                      <a:off x="0" y="0"/>
                      <a:ext cx="5271135" cy="2796540"/>
                    </a:xfrm>
                    <a:prstGeom prst="rect">
                      <a:avLst/>
                    </a:prstGeom>
                  </pic:spPr>
                </pic:pic>
              </a:graphicData>
            </a:graphic>
          </wp:inline>
        </w:drawing>
      </w:r>
    </w:p>
    <w:p>
      <w:pPr>
        <w:spacing w:line="360" w:lineRule="auto"/>
        <w:ind w:firstLine="420" w:firstLineChars="200"/>
        <w:rPr>
          <w:rFonts w:hint="default" w:ascii="宋体" w:hAnsi="宋体" w:eastAsia="宋体" w:cs="宋体"/>
          <w:b w:val="0"/>
          <w:bCs w:val="0"/>
          <w:lang w:val="en-US" w:eastAsia="zh-CN"/>
        </w:rPr>
      </w:pPr>
      <w:r>
        <w:rPr>
          <w:rFonts w:hint="eastAsia" w:ascii="宋体" w:hAnsi="宋体" w:eastAsia="宋体" w:cs="宋体"/>
          <w:b w:val="0"/>
          <w:bCs w:val="0"/>
          <w:lang w:val="en-US" w:eastAsia="zh-CN"/>
        </w:rPr>
        <w:t>注</w:t>
      </w:r>
      <w:r>
        <w:rPr>
          <w:rFonts w:hint="default" w:ascii="宋体" w:hAnsi="宋体" w:eastAsia="宋体" w:cs="宋体"/>
          <w:b w:val="0"/>
          <w:bCs w:val="0"/>
          <w:lang w:val="en-US" w:eastAsia="zh-CN"/>
        </w:rPr>
        <w:t>：用2016年作为基期，是为了固定企业的产品结构，</w:t>
      </w:r>
      <w:r>
        <w:rPr>
          <w:rFonts w:hint="eastAsia" w:ascii="宋体" w:hAnsi="宋体" w:eastAsia="宋体" w:cs="宋体"/>
          <w:b w:val="0"/>
          <w:bCs w:val="0"/>
          <w:lang w:val="en-US" w:eastAsia="zh-CN"/>
        </w:rPr>
        <w:t>使指标只反映</w:t>
      </w:r>
      <w:r>
        <w:rPr>
          <w:rFonts w:hint="default" w:ascii="宋体" w:hAnsi="宋体" w:eastAsia="宋体" w:cs="宋体"/>
          <w:b w:val="0"/>
          <w:bCs w:val="0"/>
          <w:lang w:val="en-US" w:eastAsia="zh-CN"/>
        </w:rPr>
        <w:t>关税</w:t>
      </w:r>
      <w:r>
        <w:rPr>
          <w:rFonts w:hint="eastAsia" w:ascii="宋体" w:hAnsi="宋体" w:eastAsia="宋体" w:cs="宋体"/>
          <w:b w:val="0"/>
          <w:bCs w:val="0"/>
          <w:lang w:val="en-US" w:eastAsia="zh-CN"/>
        </w:rPr>
        <w:t>政策的</w:t>
      </w:r>
      <w:r>
        <w:rPr>
          <w:rFonts w:hint="default" w:ascii="宋体" w:hAnsi="宋体" w:eastAsia="宋体" w:cs="宋体"/>
          <w:b w:val="0"/>
          <w:bCs w:val="0"/>
          <w:lang w:val="en-US" w:eastAsia="zh-CN"/>
        </w:rPr>
        <w:t>变化，得到“外生的”政策冲击</w:t>
      </w:r>
      <w:r>
        <w:rPr>
          <w:rFonts w:hint="eastAsia" w:ascii="宋体" w:hAnsi="宋体" w:eastAsia="宋体" w:cs="宋体"/>
          <w:b w:val="0"/>
          <w:bCs w:val="0"/>
          <w:lang w:val="en-US" w:eastAsia="zh-CN"/>
        </w:rPr>
        <w:t>，而不反映企业应对行为的变化</w:t>
      </w:r>
      <w:r>
        <w:rPr>
          <w:rFonts w:hint="default" w:ascii="宋体" w:hAnsi="宋体" w:eastAsia="宋体" w:cs="宋体"/>
          <w:b w:val="0"/>
          <w:bCs w:val="0"/>
          <w:lang w:val="en-US" w:eastAsia="zh-CN"/>
        </w:rPr>
        <w:t>,以避免企业调整出口结构带来的内生性。</w:t>
      </w:r>
    </w:p>
    <w:p>
      <w:pPr>
        <w:spacing w:line="360" w:lineRule="auto"/>
        <w:rPr>
          <w:rFonts w:hint="default" w:ascii="宋体" w:hAnsi="宋体" w:eastAsia="宋体" w:cs="宋体"/>
          <w:b w:val="0"/>
          <w:bCs w:val="0"/>
          <w:lang w:val="en-US" w:eastAsia="zh-CN"/>
        </w:rPr>
      </w:pPr>
      <w:r>
        <w:rPr>
          <w:rFonts w:hint="eastAsia" w:ascii="宋体" w:hAnsi="宋体" w:eastAsia="宋体" w:cs="宋体"/>
          <w:b w:val="0"/>
          <w:bCs w:val="0"/>
          <w:lang w:val="en-US" w:eastAsia="zh-CN"/>
        </w:rPr>
        <w:t>具体数据处理步骤如下：</w:t>
      </w:r>
    </w:p>
    <w:p>
      <w:pPr>
        <w:spacing w:line="360" w:lineRule="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（1）关税数据整合</w:t>
      </w:r>
    </w:p>
    <w:p>
      <w:pPr>
        <w:spacing w:line="360" w:lineRule="auto"/>
        <w:rPr>
          <w:rFonts w:hint="default" w:ascii="宋体" w:hAnsi="宋体" w:eastAsia="宋体" w:cs="宋体"/>
          <w:b w:val="0"/>
          <w:bCs w:val="0"/>
          <w:lang w:val="en-US" w:eastAsia="zh-CN"/>
        </w:rPr>
      </w:pPr>
      <w:r>
        <w:rPr>
          <w:rFonts w:hint="default" w:ascii="Calibri" w:hAnsi="Calibri" w:eastAsia="宋体" w:cs="Calibri"/>
          <w:b w:val="0"/>
          <w:bCs w:val="0"/>
          <w:lang w:val="en-US" w:eastAsia="zh-CN"/>
        </w:rPr>
        <w:t>①</w:t>
      </w:r>
      <w:r>
        <w:rPr>
          <w:rFonts w:hint="default" w:ascii="宋体" w:hAnsi="宋体" w:eastAsia="宋体" w:cs="宋体"/>
          <w:b w:val="0"/>
          <w:bCs w:val="0"/>
          <w:lang w:val="en-US" w:eastAsia="zh-CN"/>
        </w:rPr>
        <w:t>数据源：</w:t>
      </w:r>
    </w:p>
    <w:p>
      <w:pPr>
        <w:numPr>
          <w:ilvl w:val="0"/>
          <w:numId w:val="1"/>
        </w:numPr>
        <w:spacing w:line="360" w:lineRule="auto"/>
        <w:ind w:left="235" w:leftChars="0" w:hanging="235" w:firstLineChars="0"/>
        <w:rPr>
          <w:rFonts w:hint="default" w:ascii="宋体" w:hAnsi="宋体" w:eastAsia="宋体" w:cs="宋体"/>
          <w:b w:val="0"/>
          <w:bCs w:val="0"/>
          <w:lang w:val="en-US" w:eastAsia="zh-CN"/>
        </w:rPr>
      </w:pPr>
      <w:r>
        <w:rPr>
          <w:rFonts w:hint="default" w:ascii="宋体" w:hAnsi="宋体" w:eastAsia="宋体" w:cs="宋体"/>
          <w:b w:val="0"/>
          <w:bCs w:val="0"/>
          <w:lang w:val="en-US" w:eastAsia="zh-CN"/>
        </w:rPr>
        <w:t>基础MFN税率：</w:t>
      </w:r>
      <w:r>
        <w:rPr>
          <w:rFonts w:hint="eastAsia" w:ascii="宋体" w:hAnsi="宋体" w:eastAsia="宋体" w:cs="宋体"/>
          <w:b w:val="0"/>
          <w:bCs w:val="0"/>
          <w:lang w:val="en-US" w:eastAsia="zh-CN"/>
        </w:rPr>
        <w:t>美国国际贸易委员会（USITC）数据库</w:t>
      </w:r>
    </w:p>
    <w:p>
      <w:pPr>
        <w:numPr>
          <w:ilvl w:val="0"/>
          <w:numId w:val="1"/>
        </w:numPr>
        <w:spacing w:line="360" w:lineRule="auto"/>
        <w:ind w:left="235" w:leftChars="0" w:hanging="235" w:firstLineChars="0"/>
        <w:rPr>
          <w:rFonts w:hint="default" w:ascii="宋体" w:hAnsi="宋体" w:eastAsia="宋体" w:cs="宋体"/>
          <w:b w:val="0"/>
          <w:bCs w:val="0"/>
          <w:lang w:val="en-US" w:eastAsia="zh-CN"/>
        </w:rPr>
      </w:pPr>
      <w:r>
        <w:rPr>
          <w:rFonts w:hint="eastAsia" w:ascii="宋体" w:hAnsi="宋体" w:eastAsia="宋体" w:cs="宋体"/>
          <w:b w:val="0"/>
          <w:bCs w:val="0"/>
          <w:lang w:val="en-US" w:eastAsia="zh-CN"/>
        </w:rPr>
        <w:t>附加</w:t>
      </w:r>
      <w:r>
        <w:rPr>
          <w:rFonts w:hint="default" w:ascii="宋体" w:hAnsi="宋体" w:eastAsia="宋体" w:cs="宋体"/>
          <w:b w:val="0"/>
          <w:bCs w:val="0"/>
          <w:lang w:val="en-US" w:eastAsia="zh-CN"/>
        </w:rPr>
        <w:t>关税：</w:t>
      </w:r>
      <w:r>
        <w:rPr>
          <w:rFonts w:hint="eastAsia" w:ascii="宋体" w:hAnsi="宋体" w:eastAsia="宋体" w:cs="宋体"/>
          <w:b w:val="0"/>
          <w:bCs w:val="0"/>
          <w:lang w:val="en-US" w:eastAsia="zh-CN"/>
        </w:rPr>
        <w:t>贸易代表署（USTR）</w:t>
      </w:r>
      <w:r>
        <w:rPr>
          <w:rFonts w:hint="default" w:ascii="宋体" w:hAnsi="宋体" w:eastAsia="宋体" w:cs="宋体"/>
          <w:b w:val="0"/>
          <w:bCs w:val="0"/>
          <w:lang w:val="en-US" w:eastAsia="zh-CN"/>
        </w:rPr>
        <w:t>发布的</w:t>
      </w:r>
      <w:r>
        <w:rPr>
          <w:rFonts w:hint="eastAsia" w:ascii="宋体" w:hAnsi="宋体" w:eastAsia="宋体" w:cs="宋体"/>
          <w:b w:val="0"/>
          <w:bCs w:val="0"/>
          <w:lang w:val="en-US" w:eastAsia="zh-CN"/>
        </w:rPr>
        <w:t>针对中国的301条款</w:t>
      </w:r>
      <w:r>
        <w:rPr>
          <w:rFonts w:hint="default" w:ascii="宋体" w:hAnsi="宋体" w:eastAsia="宋体" w:cs="宋体"/>
          <w:b w:val="0"/>
          <w:bCs w:val="0"/>
          <w:lang w:val="en-US" w:eastAsia="zh-CN"/>
        </w:rPr>
        <w:t>四</w:t>
      </w:r>
      <w:r>
        <w:rPr>
          <w:rFonts w:hint="eastAsia" w:ascii="宋体" w:hAnsi="宋体" w:eastAsia="宋体" w:cs="宋体"/>
          <w:b w:val="0"/>
          <w:bCs w:val="0"/>
          <w:lang w:val="en-US" w:eastAsia="zh-CN"/>
        </w:rPr>
        <w:t>轮加征清单</w:t>
      </w:r>
      <w:r>
        <w:rPr>
          <w:rFonts w:hint="default" w:ascii="宋体" w:hAnsi="宋体" w:eastAsia="宋体" w:cs="宋体"/>
          <w:b w:val="0"/>
          <w:bCs w:val="0"/>
          <w:lang w:val="en-US" w:eastAsia="zh-CN"/>
        </w:rPr>
        <w:t>（List 1</w:t>
      </w:r>
      <w:r>
        <w:rPr>
          <w:rFonts w:hint="eastAsia" w:ascii="宋体" w:hAnsi="宋体" w:eastAsia="宋体" w:cs="宋体"/>
          <w:b w:val="0"/>
          <w:bCs w:val="0"/>
          <w:lang w:val="en-US" w:eastAsia="zh-CN"/>
        </w:rPr>
        <w:t>，2，3，</w:t>
      </w:r>
      <w:r>
        <w:rPr>
          <w:rFonts w:hint="default" w:ascii="宋体" w:hAnsi="宋体" w:eastAsia="宋体" w:cs="宋体"/>
          <w:b w:val="0"/>
          <w:bCs w:val="0"/>
          <w:lang w:val="en-US" w:eastAsia="zh-CN"/>
        </w:rPr>
        <w:t>4</w:t>
      </w:r>
      <w:r>
        <w:rPr>
          <w:rFonts w:hint="eastAsia" w:ascii="宋体" w:hAnsi="宋体" w:eastAsia="宋体" w:cs="宋体"/>
          <w:b w:val="0"/>
          <w:bCs w:val="0"/>
          <w:lang w:val="en-US" w:eastAsia="zh-CN"/>
        </w:rPr>
        <w:t>A/4B</w:t>
      </w:r>
      <w:r>
        <w:rPr>
          <w:rFonts w:hint="default" w:ascii="宋体" w:hAnsi="宋体" w:eastAsia="宋体" w:cs="宋体"/>
          <w:b w:val="0"/>
          <w:bCs w:val="0"/>
          <w:lang w:val="en-US" w:eastAsia="zh-CN"/>
        </w:rPr>
        <w:t>）、</w:t>
      </w:r>
      <w:r>
        <w:rPr>
          <w:rFonts w:hint="eastAsia" w:ascii="宋体" w:hAnsi="宋体" w:eastAsia="宋体" w:cs="宋体"/>
          <w:b w:val="0"/>
          <w:bCs w:val="0"/>
          <w:lang w:val="en-US" w:eastAsia="zh-CN"/>
        </w:rPr>
        <w:t>232条款（钢铁与铝材特高关税）芬太尼关税和对等关税文件及美国协调关税税则（HTS）官网发布的</w:t>
      </w:r>
      <w:r>
        <w:rPr>
          <w:rFonts w:hint="default" w:ascii="宋体" w:hAnsi="宋体" w:eastAsia="宋体" w:cs="宋体"/>
          <w:b w:val="0"/>
          <w:bCs w:val="0"/>
          <w:lang w:val="en-US" w:eastAsia="zh-CN"/>
        </w:rPr>
        <w:t>豁免清单。</w:t>
      </w:r>
    </w:p>
    <w:p>
      <w:pPr>
        <w:numPr>
          <w:ilvl w:val="0"/>
          <w:numId w:val="0"/>
        </w:numPr>
        <w:spacing w:line="360" w:lineRule="auto"/>
        <w:ind w:leftChars="0"/>
        <w:rPr>
          <w:rFonts w:hint="eastAsia" w:ascii="宋体" w:hAnsi="宋体" w:eastAsia="宋体" w:cs="宋体"/>
          <w:b w:val="0"/>
          <w:bCs w:val="0"/>
          <w:lang w:val="en-US" w:eastAsia="zh-CN"/>
        </w:rPr>
      </w:pPr>
      <w:r>
        <w:rPr>
          <w:rFonts w:hint="default" w:ascii="Calibri" w:hAnsi="Calibri" w:eastAsia="宋体" w:cs="Calibri"/>
          <w:b w:val="0"/>
          <w:bCs w:val="0"/>
          <w:lang w:val="en-US" w:eastAsia="zh-CN"/>
        </w:rPr>
        <w:t>②</w:t>
      </w:r>
      <w:r>
        <w:rPr>
          <w:rFonts w:hint="eastAsia" w:ascii="宋体" w:hAnsi="宋体" w:eastAsia="宋体" w:cs="宋体"/>
          <w:b w:val="0"/>
          <w:bCs w:val="0"/>
          <w:lang w:val="en-US" w:eastAsia="zh-CN"/>
        </w:rPr>
        <w:t>处理步骤：</w:t>
      </w:r>
    </w:p>
    <w:p>
      <w:pPr>
        <w:numPr>
          <w:ilvl w:val="0"/>
          <w:numId w:val="1"/>
        </w:numPr>
        <w:spacing w:line="360" w:lineRule="auto"/>
        <w:ind w:left="235" w:leftChars="0" w:hanging="235" w:firstLineChars="0"/>
        <w:rPr>
          <w:rFonts w:hint="default" w:ascii="宋体" w:hAnsi="宋体" w:eastAsia="宋体" w:cs="宋体"/>
          <w:b w:val="0"/>
          <w:bCs w:val="0"/>
          <w:lang w:val="en-US" w:eastAsia="zh-CN"/>
        </w:rPr>
      </w:pPr>
      <w:r>
        <w:rPr>
          <w:rFonts w:hint="eastAsia" w:ascii="宋体" w:hAnsi="宋体" w:eastAsia="宋体" w:cs="宋体"/>
          <w:b w:val="0"/>
          <w:bCs w:val="0"/>
          <w:lang w:val="en-US" w:eastAsia="zh-CN"/>
        </w:rPr>
        <w:t>统一产品编码：将所有税率数据中的HS编码统一为HS8位</w:t>
      </w:r>
    </w:p>
    <w:p>
      <w:pPr>
        <w:numPr>
          <w:ilvl w:val="0"/>
          <w:numId w:val="1"/>
        </w:numPr>
        <w:spacing w:line="360" w:lineRule="auto"/>
        <w:ind w:left="235" w:leftChars="0" w:hanging="235" w:firstLineChars="0"/>
        <w:rPr>
          <w:rFonts w:hint="default" w:ascii="宋体" w:hAnsi="宋体" w:eastAsia="宋体" w:cs="宋体"/>
          <w:b w:val="0"/>
          <w:bCs w:val="0"/>
          <w:lang w:val="en-US" w:eastAsia="zh-CN"/>
        </w:rPr>
      </w:pPr>
      <w:r>
        <w:rPr>
          <w:rFonts w:hint="eastAsia" w:ascii="宋体" w:hAnsi="宋体" w:eastAsia="宋体" w:cs="宋体"/>
          <w:b w:val="0"/>
          <w:bCs w:val="0"/>
          <w:lang w:val="en-US" w:eastAsia="zh-CN"/>
        </w:rPr>
        <w:t>计算产品最终关税率：最终关税率=基础税率+301条款+232条款+芬太尼关税+对等关税</w:t>
      </w:r>
    </w:p>
    <w:p>
      <w:pPr>
        <w:numPr>
          <w:ilvl w:val="0"/>
          <w:numId w:val="0"/>
        </w:numPr>
        <w:spacing w:line="360" w:lineRule="auto"/>
        <w:ind w:leftChars="0"/>
        <w:rPr>
          <w:rFonts w:hint="eastAsia" w:ascii="宋体" w:hAnsi="宋体" w:eastAsia="宋体" w:cs="宋体"/>
          <w:b w:val="0"/>
          <w:bCs w:val="0"/>
          <w:lang w:val="en-US" w:eastAsia="zh-CN"/>
        </w:rPr>
      </w:pPr>
      <w:r>
        <w:rPr>
          <w:rFonts w:hint="eastAsia" w:ascii="宋体" w:hAnsi="宋体" w:eastAsia="宋体" w:cs="宋体"/>
          <w:b w:val="0"/>
          <w:bCs w:val="0"/>
          <w:lang w:val="en-US" w:eastAsia="zh-CN"/>
        </w:rPr>
        <w:t>注：若某产品在t时刻被加征附加关税，为了得到月度数据，需要进行时间加权。例如，某产品7月6日起被加征25%关税，则7月的有效关税=25%×(25天/31天)。</w:t>
      </w:r>
    </w:p>
    <w:p>
      <w:pPr>
        <w:numPr>
          <w:ilvl w:val="0"/>
          <w:numId w:val="0"/>
        </w:numPr>
        <w:spacing w:line="360" w:lineRule="auto"/>
        <w:ind w:leftChars="0"/>
        <w:rPr>
          <w:rFonts w:hint="eastAsia" w:ascii="宋体" w:hAnsi="宋体" w:eastAsia="宋体" w:cs="宋体"/>
          <w:b w:val="0"/>
          <w:bCs w:val="0"/>
          <w:lang w:val="en-US" w:eastAsia="zh-CN"/>
        </w:rPr>
      </w:pPr>
      <w:r>
        <w:rPr>
          <w:rFonts w:hint="eastAsia" w:ascii="宋体" w:hAnsi="宋体" w:eastAsia="宋体" w:cs="宋体"/>
          <w:b w:val="0"/>
          <w:bCs w:val="0"/>
          <w:lang w:val="en-US" w:eastAsia="zh-CN"/>
        </w:rPr>
        <w:drawing>
          <wp:inline distT="0" distB="0" distL="114300" distR="114300">
            <wp:extent cx="5266690" cy="1428115"/>
            <wp:effectExtent l="0" t="0" r="16510" b="19685"/>
            <wp:docPr id="6" name="图片 6" descr="截屏2026-03-11 13.5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截屏2026-03-11 13.51.16"/>
                    <pic:cNvPicPr>
                      <a:picLocks noChangeAspect="1"/>
                    </pic:cNvPicPr>
                  </pic:nvPicPr>
                  <pic:blipFill>
                    <a:blip r:embed="rId5"/>
                    <a:stretch>
                      <a:fillRect/>
                    </a:stretch>
                  </pic:blipFill>
                  <pic:spPr>
                    <a:xfrm>
                      <a:off x="0" y="0"/>
                      <a:ext cx="5266690" cy="1428115"/>
                    </a:xfrm>
                    <a:prstGeom prst="rect">
                      <a:avLst/>
                    </a:prstGeom>
                  </pic:spPr>
                </pic:pic>
              </a:graphicData>
            </a:graphic>
          </wp:inline>
        </w:drawing>
      </w:r>
    </w:p>
    <w:p>
      <w:pPr>
        <w:numPr>
          <w:ilvl w:val="0"/>
          <w:numId w:val="1"/>
        </w:numPr>
        <w:spacing w:line="360" w:lineRule="auto"/>
        <w:ind w:left="235" w:leftChars="0" w:hanging="235" w:firstLineChars="0"/>
        <w:rPr>
          <w:rFonts w:hint="default" w:ascii="宋体" w:hAnsi="宋体" w:eastAsia="宋体" w:cs="宋体"/>
          <w:b w:val="0"/>
          <w:bCs w:val="0"/>
          <w:lang w:val="en-US" w:eastAsia="zh-CN"/>
        </w:rPr>
      </w:pPr>
      <w:r>
        <w:rPr>
          <w:rFonts w:hint="eastAsia" w:ascii="宋体" w:hAnsi="宋体" w:eastAsia="宋体" w:cs="宋体"/>
          <w:b w:val="0"/>
          <w:bCs w:val="0"/>
          <w:lang w:val="en-US" w:eastAsia="zh-CN"/>
        </w:rPr>
        <w:t>处理豁免：根据豁免文件，对相应产品在豁免期内的关税进行调整。</w:t>
      </w:r>
    </w:p>
    <w:p>
      <w:pPr>
        <w:numPr>
          <w:ilvl w:val="0"/>
          <w:numId w:val="0"/>
        </w:numPr>
        <w:spacing w:line="360" w:lineRule="auto"/>
        <w:ind w:leftChars="0"/>
        <w:rPr>
          <w:rFonts w:hint="default" w:ascii="宋体" w:hAnsi="宋体" w:eastAsia="宋体" w:cs="宋体"/>
          <w:b w:val="0"/>
          <w:bCs w:val="0"/>
          <w:lang w:val="en-US" w:eastAsia="zh-CN"/>
        </w:rPr>
      </w:pPr>
      <w:r>
        <w:rPr>
          <w:rFonts w:hint="eastAsia" w:ascii="宋体" w:hAnsi="宋体" w:eastAsia="宋体" w:cs="宋体"/>
          <w:b w:val="0"/>
          <w:bCs w:val="0"/>
          <w:lang w:val="en-US" w:eastAsia="zh-CN"/>
        </w:rPr>
        <w:t>根据上述步骤，本文精确还原每一类产品在特定时间段内的实际执行税率。</w:t>
      </w:r>
    </w:p>
    <w:p>
      <w:pPr>
        <w:numPr>
          <w:ilvl w:val="0"/>
          <w:numId w:val="0"/>
        </w:numPr>
        <w:spacing w:line="360" w:lineRule="auto"/>
        <w:ind w:leftChars="0"/>
        <w:rPr>
          <w:rFonts w:hint="eastAsia" w:ascii="宋体" w:hAnsi="宋体" w:eastAsia="宋体" w:cs="宋体"/>
          <w:b w:val="0"/>
          <w:bCs w:val="0"/>
          <w:lang w:val="en-US" w:eastAsia="zh-CN"/>
        </w:rPr>
      </w:pPr>
      <w:r>
        <w:rPr>
          <w:rFonts w:hint="eastAsia" w:ascii="宋体" w:hAnsi="宋体" w:eastAsia="宋体" w:cs="宋体"/>
          <w:b w:val="0"/>
          <w:bCs w:val="0"/>
          <w:lang w:val="en-US" w:eastAsia="zh-CN"/>
        </w:rPr>
        <w:t>（2）行业-产品映射</w:t>
      </w:r>
    </w:p>
    <w:p>
      <w:pPr>
        <w:numPr>
          <w:ilvl w:val="0"/>
          <w:numId w:val="0"/>
        </w:numPr>
        <w:spacing w:line="360" w:lineRule="auto"/>
        <w:ind w:leftChars="0"/>
        <w:rPr>
          <w:rFonts w:hint="eastAsia" w:ascii="宋体" w:hAnsi="宋体" w:eastAsia="宋体" w:cs="宋体"/>
          <w:b w:val="0"/>
          <w:bCs w:val="0"/>
          <w:lang w:val="en-US" w:eastAsia="zh-CN"/>
        </w:rPr>
      </w:pPr>
      <w:r>
        <w:rPr>
          <w:rFonts w:hint="default" w:ascii="Calibri" w:hAnsi="Calibri" w:eastAsia="宋体" w:cs="Calibri"/>
          <w:b w:val="0"/>
          <w:bCs w:val="0"/>
          <w:lang w:val="en-US" w:eastAsia="zh-CN"/>
        </w:rPr>
        <w:t>①</w:t>
      </w:r>
      <w:r>
        <w:rPr>
          <w:rFonts w:hint="eastAsia" w:ascii="宋体" w:hAnsi="宋体" w:eastAsia="宋体" w:cs="宋体"/>
          <w:b w:val="0"/>
          <w:bCs w:val="0"/>
          <w:lang w:val="en-US" w:eastAsia="zh-CN"/>
        </w:rPr>
        <w:t>数据源：国民经济行业分类（GB/T 4754–2017）</w:t>
      </w:r>
    </w:p>
    <w:p>
      <w:pPr>
        <w:numPr>
          <w:ilvl w:val="0"/>
          <w:numId w:val="0"/>
        </w:numPr>
        <w:spacing w:line="360" w:lineRule="auto"/>
        <w:ind w:leftChars="0"/>
        <w:rPr>
          <w:rFonts w:hint="eastAsia" w:ascii="宋体" w:hAnsi="宋体" w:eastAsia="宋体" w:cs="宋体"/>
          <w:b w:val="0"/>
          <w:bCs w:val="0"/>
          <w:lang w:val="en-US" w:eastAsia="zh-CN"/>
        </w:rPr>
      </w:pPr>
      <w:r>
        <w:rPr>
          <w:rFonts w:hint="default" w:ascii="Calibri" w:hAnsi="Calibri" w:eastAsia="宋体" w:cs="Calibri"/>
          <w:b w:val="0"/>
          <w:bCs w:val="0"/>
          <w:lang w:val="en-US" w:eastAsia="zh-CN"/>
        </w:rPr>
        <w:t>②</w:t>
      </w:r>
      <w:r>
        <w:rPr>
          <w:rFonts w:hint="eastAsia" w:ascii="宋体" w:hAnsi="宋体" w:eastAsia="宋体" w:cs="宋体"/>
          <w:b w:val="0"/>
          <w:bCs w:val="0"/>
          <w:lang w:val="en-US" w:eastAsia="zh-CN"/>
        </w:rPr>
        <w:t>处理步骤：每个HS8位产品匹配到我国《国民经济行业分类》唯一的GB行业</w:t>
      </w:r>
    </w:p>
    <w:p>
      <w:pPr>
        <w:numPr>
          <w:ilvl w:val="0"/>
          <w:numId w:val="0"/>
        </w:numPr>
        <w:spacing w:line="360" w:lineRule="auto"/>
        <w:ind w:leftChars="0"/>
        <w:rPr>
          <w:rFonts w:hint="eastAsia" w:ascii="宋体" w:hAnsi="宋体" w:eastAsia="宋体" w:cs="宋体"/>
          <w:b w:val="0"/>
          <w:bCs w:val="0"/>
          <w:lang w:val="en-US" w:eastAsia="zh-CN"/>
        </w:rPr>
      </w:pPr>
      <w:r>
        <w:rPr>
          <w:rFonts w:hint="eastAsia" w:ascii="宋体" w:hAnsi="宋体" w:eastAsia="宋体" w:cs="宋体"/>
          <w:b w:val="0"/>
          <w:bCs w:val="0"/>
          <w:lang w:val="en-US" w:eastAsia="zh-CN"/>
        </w:rPr>
        <w:t>（3）企业‑行业归属（需将企业匹配至GB行业）</w:t>
      </w:r>
    </w:p>
    <w:p>
      <w:pPr>
        <w:numPr>
          <w:ilvl w:val="0"/>
          <w:numId w:val="0"/>
        </w:numPr>
        <w:spacing w:line="360" w:lineRule="auto"/>
        <w:ind w:leftChars="0"/>
        <w:rPr>
          <w:rFonts w:hint="eastAsia" w:ascii="宋体" w:hAnsi="宋体" w:eastAsia="宋体" w:cs="宋体"/>
          <w:b w:val="0"/>
          <w:bCs w:val="0"/>
          <w:lang w:val="en-US" w:eastAsia="zh-CN"/>
        </w:rPr>
      </w:pPr>
      <w:r>
        <w:rPr>
          <w:rFonts w:hint="default" w:ascii="Calibri" w:hAnsi="Calibri" w:eastAsia="宋体" w:cs="Calibri"/>
          <w:b w:val="0"/>
          <w:bCs w:val="0"/>
          <w:lang w:val="en-US" w:eastAsia="zh-CN"/>
        </w:rPr>
        <w:t>①</w:t>
      </w:r>
      <w:r>
        <w:rPr>
          <w:rFonts w:hint="eastAsia" w:ascii="宋体" w:hAnsi="宋体" w:eastAsia="宋体" w:cs="宋体"/>
          <w:b w:val="0"/>
          <w:bCs w:val="0"/>
          <w:lang w:val="en-US" w:eastAsia="zh-CN"/>
        </w:rPr>
        <w:t>数据源：FactSet企业数据，包含企业名称、股票代码、公司ID等。</w:t>
      </w:r>
    </w:p>
    <w:p>
      <w:pPr>
        <w:numPr>
          <w:ilvl w:val="0"/>
          <w:numId w:val="0"/>
        </w:numPr>
        <w:spacing w:line="360" w:lineRule="auto"/>
        <w:ind w:leftChars="0"/>
        <w:rPr>
          <w:rFonts w:hint="eastAsia" w:ascii="宋体" w:hAnsi="宋体" w:eastAsia="宋体" w:cs="宋体"/>
          <w:b w:val="0"/>
          <w:bCs w:val="0"/>
          <w:lang w:val="en-US" w:eastAsia="zh-CN"/>
        </w:rPr>
      </w:pPr>
      <w:r>
        <w:rPr>
          <w:rFonts w:hint="default" w:ascii="Calibri" w:hAnsi="Calibri" w:eastAsia="宋体" w:cs="Calibri"/>
          <w:b w:val="0"/>
          <w:bCs w:val="0"/>
          <w:lang w:val="en-US" w:eastAsia="zh-CN"/>
        </w:rPr>
        <w:t>②</w:t>
      </w:r>
      <w:r>
        <w:rPr>
          <w:rFonts w:hint="eastAsia" w:ascii="宋体" w:hAnsi="宋体" w:eastAsia="宋体" w:cs="宋体"/>
          <w:b w:val="0"/>
          <w:bCs w:val="0"/>
          <w:lang w:val="en-US" w:eastAsia="zh-CN"/>
        </w:rPr>
        <w:t>处理步骤：利用 FactSet 企业 ID 与 CSMAR 数据库进行多重匹配，识别出样本内 1000 余家中国上市公司及其关联非上市公司的所属行业归属。</w:t>
      </w:r>
    </w:p>
    <w:p>
      <w:pPr>
        <w:numPr>
          <w:ilvl w:val="0"/>
          <w:numId w:val="0"/>
        </w:numPr>
        <w:spacing w:line="360" w:lineRule="auto"/>
        <w:ind w:leftChars="0"/>
        <w:rPr>
          <w:rFonts w:hint="eastAsia" w:ascii="宋体" w:hAnsi="宋体" w:eastAsia="宋体" w:cs="宋体"/>
          <w:b w:val="0"/>
          <w:bCs w:val="0"/>
          <w:lang w:val="en-US" w:eastAsia="zh-CN"/>
        </w:rPr>
      </w:pPr>
      <w:r>
        <w:rPr>
          <w:rFonts w:hint="eastAsia" w:ascii="宋体" w:hAnsi="宋体" w:eastAsia="宋体" w:cs="宋体"/>
          <w:b w:val="0"/>
          <w:bCs w:val="0"/>
          <w:lang w:val="en-US" w:eastAsia="zh-CN"/>
        </w:rPr>
        <w:t>（4）行业出口权重计算</w:t>
      </w:r>
    </w:p>
    <w:p>
      <w:pPr>
        <w:numPr>
          <w:ilvl w:val="0"/>
          <w:numId w:val="0"/>
        </w:numPr>
        <w:spacing w:line="360" w:lineRule="auto"/>
        <w:ind w:leftChars="0"/>
        <w:rPr>
          <w:rFonts w:hint="eastAsia" w:ascii="宋体" w:hAnsi="宋体" w:eastAsia="宋体" w:cs="宋体"/>
          <w:b w:val="0"/>
          <w:bCs w:val="0"/>
          <w:lang w:val="en-US" w:eastAsia="zh-CN"/>
        </w:rPr>
      </w:pPr>
      <w:r>
        <w:rPr>
          <w:rFonts w:hint="default" w:ascii="Calibri" w:hAnsi="Calibri" w:eastAsia="宋体" w:cs="Calibri"/>
          <w:b w:val="0"/>
          <w:bCs w:val="0"/>
          <w:lang w:val="en-US" w:eastAsia="zh-CN"/>
        </w:rPr>
        <w:t>①</w:t>
      </w:r>
      <w:r>
        <w:rPr>
          <w:rFonts w:hint="eastAsia" w:ascii="宋体" w:hAnsi="宋体" w:eastAsia="宋体" w:cs="宋体"/>
          <w:b w:val="0"/>
          <w:bCs w:val="0"/>
          <w:lang w:val="en-US" w:eastAsia="zh-CN"/>
        </w:rPr>
        <w:t>数据源：从中国海关总署收集的对美国出口数据，包含HS8位产品的出口额（人民币）。</w:t>
      </w:r>
    </w:p>
    <w:p>
      <w:pPr>
        <w:numPr>
          <w:ilvl w:val="0"/>
          <w:numId w:val="0"/>
        </w:numPr>
        <w:spacing w:line="360" w:lineRule="auto"/>
        <w:ind w:leftChars="0"/>
        <w:rPr>
          <w:rFonts w:hint="eastAsia" w:ascii="宋体" w:hAnsi="宋体" w:eastAsia="宋体" w:cs="宋体"/>
          <w:b w:val="0"/>
          <w:bCs w:val="0"/>
          <w:lang w:val="en-US" w:eastAsia="zh-CN"/>
        </w:rPr>
      </w:pPr>
      <w:r>
        <w:rPr>
          <w:rFonts w:hint="default" w:ascii="Calibri" w:hAnsi="Calibri" w:eastAsia="宋体" w:cs="Calibri"/>
          <w:b w:val="0"/>
          <w:bCs w:val="0"/>
          <w:lang w:val="en-US" w:eastAsia="zh-CN"/>
        </w:rPr>
        <w:t>②</w:t>
      </w:r>
      <w:r>
        <w:rPr>
          <w:rFonts w:hint="eastAsia" w:ascii="宋体" w:hAnsi="宋体" w:eastAsia="宋体" w:cs="宋体"/>
          <w:b w:val="0"/>
          <w:bCs w:val="0"/>
          <w:lang w:val="en-US" w:eastAsia="zh-CN"/>
        </w:rPr>
        <w:t>处理步骤：</w:t>
      </w:r>
    </w:p>
    <w:p>
      <w:pPr>
        <w:numPr>
          <w:ilvl w:val="0"/>
          <w:numId w:val="1"/>
        </w:numPr>
        <w:spacing w:line="360" w:lineRule="auto"/>
        <w:ind w:left="235" w:leftChars="0" w:hanging="235" w:firstLineChars="0"/>
        <w:rPr>
          <w:rFonts w:hint="eastAsia" w:ascii="宋体" w:hAnsi="宋体" w:eastAsia="宋体" w:cs="宋体"/>
          <w:b w:val="0"/>
          <w:bCs w:val="0"/>
          <w:lang w:val="en-US" w:eastAsia="zh-CN"/>
        </w:rPr>
      </w:pPr>
      <w:r>
        <w:rPr>
          <w:rFonts w:hint="eastAsia" w:ascii="宋体" w:hAnsi="宋体" w:eastAsia="宋体" w:cs="宋体"/>
          <w:b w:val="0"/>
          <w:bCs w:val="0"/>
          <w:lang w:val="en-US" w:eastAsia="zh-CN"/>
        </w:rPr>
        <w:t>以2016年为基期，计算每个HS8产品对美出口额</w:t>
      </w:r>
      <m:oMath>
        <m:sSub>
          <m:sSubPr>
            <m:ctrlPr>
              <w:rPr>
                <w:rFonts w:ascii="DejaVu Math TeX Gyre" w:hAnsi="DejaVu Math TeX Gyre" w:cs="宋体"/>
                <w:bCs w:val="0"/>
                <w:i/>
                <w:lang w:val="en-US"/>
              </w:rPr>
            </m:ctrlPr>
          </m:sSubPr>
          <m:e>
            <m:r>
              <m:rPr/>
              <w:rPr>
                <w:rFonts w:hint="default" w:ascii="DejaVu Math TeX Gyre" w:hAnsi="DejaVu Math TeX Gyre" w:cs="宋体"/>
                <w:lang w:val="en-US"/>
              </w:rPr>
              <m:t xml:space="preserve"> </m:t>
            </m:r>
            <m:r>
              <m:rPr/>
              <w:rPr>
                <w:rFonts w:hint="eastAsia" w:ascii="DejaVu Math TeX Gyre" w:hAnsi="DejaVu Math TeX Gyre" w:cs="宋体"/>
                <w:lang w:val="en-US" w:eastAsia="zh-CN"/>
              </w:rPr>
              <m:t>X</m:t>
            </m:r>
            <m:ctrlPr>
              <w:rPr>
                <w:rFonts w:ascii="DejaVu Math TeX Gyre" w:hAnsi="DejaVu Math TeX Gyre" w:cs="宋体"/>
                <w:bCs w:val="0"/>
                <w:i/>
                <w:lang w:val="en-US"/>
              </w:rPr>
            </m:ctrlPr>
          </m:e>
          <m:sub>
            <m:r>
              <m:rPr/>
              <w:rPr>
                <w:rFonts w:hint="default" w:ascii="DejaVu Math TeX Gyre" w:hAnsi="DejaVu Math TeX Gyre" w:cs="宋体"/>
                <w:lang w:val="en-US"/>
              </w:rPr>
              <m:t>k,s(i),2016</m:t>
            </m:r>
            <m:ctrlPr>
              <w:rPr>
                <w:rFonts w:ascii="DejaVu Math TeX Gyre" w:hAnsi="DejaVu Math TeX Gyre" w:cs="宋体"/>
                <w:bCs w:val="0"/>
                <w:i/>
                <w:lang w:val="en-US"/>
              </w:rPr>
            </m:ctrlPr>
          </m:sub>
        </m:sSub>
      </m:oMath>
    </w:p>
    <w:p>
      <w:pPr>
        <w:numPr>
          <w:ilvl w:val="0"/>
          <w:numId w:val="1"/>
        </w:numPr>
        <w:spacing w:line="360" w:lineRule="auto"/>
        <w:ind w:left="235" w:leftChars="0" w:hanging="235" w:firstLineChars="0"/>
        <w:rPr>
          <w:rFonts w:hint="default" w:ascii="宋体" w:hAnsi="宋体" w:eastAsia="宋体" w:cs="宋体"/>
          <w:b w:val="0"/>
          <w:bCs w:val="0"/>
          <w:lang w:val="en-US" w:eastAsia="zh-CN"/>
        </w:rPr>
      </w:pPr>
      <w:r>
        <w:rPr>
          <w:rFonts w:hint="eastAsia" w:ascii="宋体" w:hAnsi="宋体" w:eastAsia="宋体" w:cs="宋体"/>
          <w:b w:val="0"/>
          <w:bCs w:val="0"/>
          <w:lang w:val="en-US" w:eastAsia="zh-CN"/>
        </w:rPr>
        <w:t xml:space="preserve">按GB行业汇总，得到行业j的总出口额 </w:t>
      </w:r>
      <m:oMath>
        <m:sSub>
          <m:sSubPr>
            <m:ctrlPr>
              <w:rPr>
                <w:rFonts w:ascii="DejaVu Math TeX Gyre" w:hAnsi="DejaVu Math TeX Gyre" w:cs="宋体"/>
                <w:bCs w:val="0"/>
                <w:i/>
                <w:lang w:val="en-US"/>
              </w:rPr>
            </m:ctrlPr>
          </m:sSubPr>
          <m:e>
            <m:r>
              <m:rPr/>
              <w:rPr>
                <w:rFonts w:hint="eastAsia" w:ascii="DejaVu Math TeX Gyre" w:hAnsi="DejaVu Math TeX Gyre" w:cs="宋体"/>
                <w:lang w:val="en-US" w:eastAsia="zh-CN"/>
              </w:rPr>
              <m:t>X</m:t>
            </m:r>
            <m:ctrlPr>
              <w:rPr>
                <w:rFonts w:ascii="DejaVu Math TeX Gyre" w:hAnsi="DejaVu Math TeX Gyre" w:cs="宋体"/>
                <w:bCs w:val="0"/>
                <w:i/>
                <w:lang w:val="en-US"/>
              </w:rPr>
            </m:ctrlPr>
          </m:e>
          <m:sub>
            <m:r>
              <m:rPr/>
              <w:rPr>
                <w:rFonts w:hint="default" w:ascii="DejaVu Math TeX Gyre" w:hAnsi="DejaVu Math TeX Gyre" w:cs="宋体"/>
                <w:lang w:val="en-US"/>
              </w:rPr>
              <m:t>s(i),2016</m:t>
            </m:r>
            <m:ctrlPr>
              <w:rPr>
                <w:rFonts w:ascii="DejaVu Math TeX Gyre" w:hAnsi="DejaVu Math TeX Gyre" w:cs="宋体"/>
                <w:bCs w:val="0"/>
                <w:i/>
                <w:lang w:val="en-US"/>
              </w:rPr>
            </m:ctrlPr>
          </m:sub>
        </m:sSub>
      </m:oMath>
      <w:r>
        <w:rPr>
          <w:rFonts w:hint="eastAsia" w:ascii="宋体" w:hAnsi="宋体" w:eastAsia="宋体" w:cs="宋体"/>
          <w:b w:val="0"/>
          <w:bCs w:val="0"/>
          <w:lang w:val="en-US" w:eastAsia="zh-CN"/>
        </w:rPr>
        <w:t xml:space="preserve"> = </w:t>
      </w:r>
      <m:oMath>
        <m:sSub>
          <m:sSubPr>
            <m:ctrlPr>
              <w:rPr>
                <w:rFonts w:hint="eastAsia" w:ascii="DejaVu Math TeX Gyre" w:hAnsi="宋体" w:eastAsia="宋体" w:cs="宋体"/>
                <w:b w:val="0"/>
                <w:bCs w:val="0"/>
                <w:lang w:val="en-US" w:eastAsia="zh-CN"/>
              </w:rPr>
            </m:ctrlPr>
          </m:sSubPr>
          <m:e>
            <m:r>
              <m:rPr>
                <m:sty m:val="p"/>
              </m:rPr>
              <w:rPr>
                <w:rFonts w:hint="eastAsia" w:ascii="宋体" w:hAnsi="宋体" w:eastAsia="宋体" w:cs="宋体"/>
                <w:lang w:val="en-US" w:eastAsia="zh-CN"/>
              </w:rPr>
              <m:t>Σ</m:t>
            </m:r>
            <m:ctrlPr>
              <w:rPr>
                <w:rFonts w:hint="eastAsia" w:ascii="DejaVu Math TeX Gyre" w:hAnsi="宋体" w:eastAsia="宋体" w:cs="宋体"/>
                <w:b w:val="0"/>
                <w:bCs w:val="0"/>
                <w:lang w:val="en-US" w:eastAsia="zh-CN"/>
              </w:rPr>
            </m:ctrlPr>
          </m:e>
          <m:sub>
            <m:r>
              <m:rPr>
                <m:sty m:val="p"/>
              </m:rPr>
              <w:rPr>
                <w:rFonts w:hint="eastAsia" w:ascii="DejaVu Math TeX Gyre" w:hAnsi="DejaVu Math TeX Gyre" w:eastAsia="宋体" w:cs="宋体"/>
                <w:lang w:val="en-US" w:eastAsia="zh-CN"/>
              </w:rPr>
              <m:t>k</m:t>
            </m:r>
            <m:ctrlPr>
              <w:rPr>
                <w:rFonts w:hint="eastAsia" w:ascii="DejaVu Math TeX Gyre" w:hAnsi="宋体" w:eastAsia="宋体" w:cs="宋体"/>
                <w:b w:val="0"/>
                <w:bCs w:val="0"/>
                <w:lang w:val="en-US" w:eastAsia="zh-CN"/>
              </w:rPr>
            </m:ctrlPr>
          </m:sub>
        </m:sSub>
        <m:sSub>
          <m:sSubPr>
            <m:ctrlPr>
              <w:rPr>
                <w:rFonts w:ascii="DejaVu Math TeX Gyre" w:hAnsi="DejaVu Math TeX Gyre" w:cs="宋体"/>
                <w:bCs w:val="0"/>
                <w:i/>
                <w:lang w:val="en-US"/>
              </w:rPr>
            </m:ctrlPr>
          </m:sSubPr>
          <m:e>
            <m:r>
              <m:rPr/>
              <w:rPr>
                <w:rFonts w:hint="eastAsia" w:ascii="DejaVu Math TeX Gyre" w:hAnsi="DejaVu Math TeX Gyre" w:cs="宋体"/>
                <w:lang w:val="en-US" w:eastAsia="zh-CN"/>
              </w:rPr>
              <m:t>X</m:t>
            </m:r>
            <m:ctrlPr>
              <w:rPr>
                <w:rFonts w:ascii="DejaVu Math TeX Gyre" w:hAnsi="DejaVu Math TeX Gyre" w:cs="宋体"/>
                <w:bCs w:val="0"/>
                <w:i/>
                <w:lang w:val="en-US"/>
              </w:rPr>
            </m:ctrlPr>
          </m:e>
          <m:sub>
            <m:r>
              <m:rPr/>
              <w:rPr>
                <w:rFonts w:hint="default" w:ascii="DejaVu Math TeX Gyre" w:hAnsi="DejaVu Math TeX Gyre" w:cs="宋体"/>
                <w:lang w:val="en-US"/>
              </w:rPr>
              <m:t>k,s(i),2016</m:t>
            </m:r>
            <m:ctrlPr>
              <w:rPr>
                <w:rFonts w:ascii="DejaVu Math TeX Gyre" w:hAnsi="DejaVu Math TeX Gyre" w:cs="宋体"/>
                <w:bCs w:val="0"/>
                <w:i/>
                <w:lang w:val="en-US"/>
              </w:rPr>
            </m:ctrlPr>
          </m:sub>
        </m:sSub>
      </m:oMath>
    </w:p>
    <w:p>
      <w:pPr>
        <w:numPr>
          <w:ilvl w:val="0"/>
          <w:numId w:val="1"/>
        </w:numPr>
        <w:spacing w:line="360" w:lineRule="auto"/>
        <w:ind w:left="235" w:leftChars="0" w:hanging="235" w:firstLineChars="0"/>
        <w:rPr>
          <w:rFonts w:hint="default" w:ascii="宋体" w:hAnsi="宋体" w:eastAsia="宋体" w:cs="宋体"/>
          <w:b w:val="0"/>
          <w:bCs w:val="0"/>
          <w:lang w:val="en-US" w:eastAsia="zh-CN"/>
        </w:rPr>
      </w:pPr>
      <w:r>
        <w:rPr>
          <w:rFonts w:hint="eastAsia" w:ascii="宋体" w:hAnsi="宋体" w:eastAsia="宋体" w:cs="宋体"/>
          <w:b w:val="0"/>
          <w:bCs w:val="0"/>
          <w:lang w:val="en-US" w:eastAsia="zh-CN"/>
        </w:rPr>
        <w:t>计算每个HS8产品在所属行业内的权重</w:t>
      </w:r>
      <w:r>
        <w:rPr>
          <w:rFonts w:hint="default" w:ascii="宋体" w:hAnsi="宋体" w:eastAsia="宋体" w:cs="宋体"/>
          <w:b w:val="0"/>
          <w:bCs w:val="0"/>
          <w:lang w:val="en-US" w:eastAsia="zh-CN"/>
        </w:rPr>
        <w:t xml:space="preserve"> </w:t>
      </w:r>
      <m:oMath>
        <m:sSub>
          <m:sSubPr>
            <m:ctrlPr>
              <w:rPr>
                <w:rFonts w:ascii="DejaVu Math TeX Gyre" w:hAnsi="DejaVu Math TeX Gyre" w:cs="宋体"/>
                <w:bCs w:val="0"/>
                <w:i/>
                <w:lang w:val="en-US"/>
              </w:rPr>
            </m:ctrlPr>
          </m:sSubPr>
          <m:e>
            <m:r>
              <m:rPr/>
              <w:rPr>
                <w:rFonts w:hint="eastAsia" w:ascii="DejaVu Math TeX Gyre" w:hAnsi="DejaVu Math TeX Gyre" w:cs="宋体"/>
                <w:lang w:val="en-US" w:eastAsia="zh-CN"/>
              </w:rPr>
              <m:t>W</m:t>
            </m:r>
            <m:ctrlPr>
              <w:rPr>
                <w:rFonts w:ascii="DejaVu Math TeX Gyre" w:hAnsi="DejaVu Math TeX Gyre" w:cs="宋体"/>
                <w:bCs w:val="0"/>
                <w:i/>
                <w:lang w:val="en-US"/>
              </w:rPr>
            </m:ctrlPr>
          </m:e>
          <m:sub>
            <m:r>
              <m:rPr/>
              <w:rPr>
                <w:rFonts w:hint="eastAsia" w:ascii="DejaVu Math TeX Gyre" w:hAnsi="DejaVu Math TeX Gyre" w:cs="宋体"/>
                <w:lang w:val="en-US" w:eastAsia="zh-CN"/>
              </w:rPr>
              <m:t>k</m:t>
            </m:r>
            <m:r>
              <m:rPr/>
              <w:rPr>
                <w:rFonts w:hint="default" w:ascii="DejaVu Math TeX Gyre" w:hAnsi="DejaVu Math TeX Gyre" w:cs="宋体"/>
                <w:lang w:val="en-US" w:eastAsia="zh-CN"/>
              </w:rPr>
              <m:t xml:space="preserve">,s(i) </m:t>
            </m:r>
            <m:ctrlPr>
              <w:rPr>
                <w:rFonts w:ascii="DejaVu Math TeX Gyre" w:hAnsi="DejaVu Math TeX Gyre" w:cs="宋体"/>
                <w:bCs w:val="0"/>
                <w:i/>
                <w:lang w:val="en-US"/>
              </w:rPr>
            </m:ctrlPr>
          </m:sub>
        </m:sSub>
      </m:oMath>
      <w:r>
        <w:rPr>
          <w:rFonts w:hint="default" w:hAnsi="DejaVu Math TeX Gyre" w:cs="宋体"/>
          <w:bCs w:val="0"/>
          <w:i w:val="0"/>
          <w:lang w:val="en-US"/>
        </w:rPr>
        <w:t xml:space="preserve">= </w:t>
      </w:r>
      <m:oMath>
        <m:f>
          <m:fPr>
            <m:ctrlPr>
              <w:rPr>
                <w:rFonts w:ascii="DejaVu Math TeX Gyre" w:hAnsi="DejaVu Math TeX Gyre" w:cs="宋体"/>
                <w:bCs w:val="0"/>
                <w:i/>
                <w:lang w:val="en-US"/>
              </w:rPr>
            </m:ctrlPr>
          </m:fPr>
          <m:num>
            <m:sSub>
              <m:sSubPr>
                <m:ctrlPr>
                  <w:rPr>
                    <w:rFonts w:ascii="DejaVu Math TeX Gyre" w:hAnsi="DejaVu Math TeX Gyre" w:cs="宋体"/>
                    <w:bCs w:val="0"/>
                    <w:i/>
                    <w:lang w:val="en-US"/>
                  </w:rPr>
                </m:ctrlPr>
              </m:sSubPr>
              <m:e>
                <m:r>
                  <m:rPr/>
                  <w:rPr>
                    <w:rFonts w:hint="eastAsia" w:ascii="DejaVu Math TeX Gyre" w:hAnsi="DejaVu Math TeX Gyre" w:cs="宋体"/>
                    <w:lang w:val="en-US" w:eastAsia="zh-CN"/>
                  </w:rPr>
                  <m:t>X</m:t>
                </m:r>
                <m:ctrlPr>
                  <w:rPr>
                    <w:rFonts w:ascii="DejaVu Math TeX Gyre" w:hAnsi="DejaVu Math TeX Gyre" w:cs="宋体"/>
                    <w:bCs w:val="0"/>
                    <w:i/>
                    <w:lang w:val="en-US"/>
                  </w:rPr>
                </m:ctrlPr>
              </m:e>
              <m:sub>
                <m:r>
                  <m:rPr/>
                  <w:rPr>
                    <w:rFonts w:hint="default" w:ascii="DejaVu Math TeX Gyre" w:hAnsi="DejaVu Math TeX Gyre" w:cs="宋体"/>
                    <w:lang w:val="en-US"/>
                  </w:rPr>
                  <m:t>k,s(i),2016</m:t>
                </m:r>
                <m:ctrlPr>
                  <w:rPr>
                    <w:rFonts w:ascii="DejaVu Math TeX Gyre" w:hAnsi="DejaVu Math TeX Gyre" w:cs="宋体"/>
                    <w:bCs w:val="0"/>
                    <w:i/>
                    <w:lang w:val="en-US"/>
                  </w:rPr>
                </m:ctrlPr>
              </m:sub>
            </m:sSub>
            <m:ctrlPr>
              <w:rPr>
                <w:rFonts w:ascii="DejaVu Math TeX Gyre" w:hAnsi="DejaVu Math TeX Gyre" w:cs="宋体"/>
                <w:bCs w:val="0"/>
                <w:i/>
                <w:lang w:val="en-US"/>
              </w:rPr>
            </m:ctrlPr>
          </m:num>
          <m:den>
            <m:sSub>
              <m:sSubPr>
                <m:ctrlPr>
                  <w:rPr>
                    <w:rFonts w:ascii="DejaVu Math TeX Gyre" w:hAnsi="DejaVu Math TeX Gyre" w:cs="宋体"/>
                    <w:bCs w:val="0"/>
                    <w:i/>
                    <w:lang w:val="en-US"/>
                  </w:rPr>
                </m:ctrlPr>
              </m:sSubPr>
              <m:e>
                <m:r>
                  <m:rPr/>
                  <w:rPr>
                    <w:rFonts w:hint="eastAsia" w:ascii="DejaVu Math TeX Gyre" w:hAnsi="DejaVu Math TeX Gyre" w:cs="宋体"/>
                    <w:lang w:val="en-US" w:eastAsia="zh-CN"/>
                  </w:rPr>
                  <m:t>X</m:t>
                </m:r>
                <m:ctrlPr>
                  <w:rPr>
                    <w:rFonts w:ascii="DejaVu Math TeX Gyre" w:hAnsi="DejaVu Math TeX Gyre" w:cs="宋体"/>
                    <w:bCs w:val="0"/>
                    <w:i/>
                    <w:lang w:val="en-US"/>
                  </w:rPr>
                </m:ctrlPr>
              </m:e>
              <m:sub>
                <m:r>
                  <m:rPr/>
                  <w:rPr>
                    <w:rFonts w:hint="default" w:ascii="DejaVu Math TeX Gyre" w:hAnsi="DejaVu Math TeX Gyre" w:cs="宋体"/>
                    <w:lang w:val="en-US"/>
                  </w:rPr>
                  <m:t>s(i),2016</m:t>
                </m:r>
                <m:ctrlPr>
                  <w:rPr>
                    <w:rFonts w:ascii="DejaVu Math TeX Gyre" w:hAnsi="DejaVu Math TeX Gyre" w:cs="宋体"/>
                    <w:bCs w:val="0"/>
                    <w:i/>
                    <w:lang w:val="en-US"/>
                  </w:rPr>
                </m:ctrlPr>
              </m:sub>
            </m:sSub>
            <m:ctrlPr>
              <w:rPr>
                <w:rFonts w:ascii="DejaVu Math TeX Gyre" w:hAnsi="DejaVu Math TeX Gyre" w:cs="宋体"/>
                <w:bCs w:val="0"/>
                <w:i/>
                <w:lang w:val="en-US"/>
              </w:rPr>
            </m:ctrlPr>
          </m:den>
        </m:f>
      </m:oMath>
    </w:p>
    <w:p>
      <w:pPr>
        <w:numPr>
          <w:ilvl w:val="0"/>
          <w:numId w:val="0"/>
        </w:numPr>
        <w:spacing w:line="360" w:lineRule="auto"/>
        <w:ind w:leftChars="0"/>
        <w:rPr>
          <w:rFonts w:hint="default" w:ascii="宋体" w:hAnsi="宋体" w:eastAsia="宋体" w:cs="宋体"/>
          <w:b w:val="0"/>
          <w:bCs w:val="0"/>
          <w:lang w:val="en-US" w:eastAsia="zh-CN"/>
        </w:rPr>
      </w:pPr>
      <w:r>
        <w:rPr>
          <w:rFonts w:hint="default" w:ascii="宋体" w:hAnsi="宋体" w:eastAsia="宋体" w:cs="宋体"/>
          <w:b w:val="0"/>
          <w:bCs w:val="0"/>
          <w:lang w:val="en-US" w:eastAsia="zh-CN"/>
        </w:rPr>
        <w:t>逻辑说明：通过将权重固定在 2018 年摩擦爆发之前的 2016 年，有效排除了企业因预防性动机或应对关税冲击而主动调整产品结构的干扰，确保指标仅反映政策的外生变化。</w:t>
      </w:r>
    </w:p>
    <w:p>
      <w:pPr>
        <w:numPr>
          <w:ilvl w:val="0"/>
          <w:numId w:val="0"/>
        </w:numPr>
        <w:spacing w:line="360" w:lineRule="auto"/>
        <w:ind w:leftChars="0"/>
        <w:rPr>
          <w:rFonts w:hint="eastAsia" w:hAnsi="DejaVu Math TeX Gyre" w:eastAsia="宋体" w:cs="宋体"/>
          <w:bCs w:val="0"/>
          <w:i w:val="0"/>
          <w:lang w:val="en-US" w:eastAsia="zh-CN"/>
        </w:rPr>
      </w:pPr>
      <w:r>
        <w:rPr>
          <w:rFonts w:hint="eastAsia" w:hAnsi="DejaVu Math TeX Gyre" w:eastAsia="宋体" w:cs="宋体"/>
          <w:bCs w:val="0"/>
          <w:i w:val="0"/>
          <w:lang w:val="en-US" w:eastAsia="zh-CN"/>
        </w:rPr>
        <w:t>2. 辅助特征与协变量</w:t>
      </w:r>
      <w:r>
        <w:rPr>
          <w:rFonts w:hint="eastAsia" w:ascii="宋体" w:hAnsi="宋体" w:eastAsia="宋体" w:cs="宋体"/>
          <w:b w:val="0"/>
          <w:bCs w:val="0"/>
          <w:lang w:val="en-US" w:eastAsia="zh-CN"/>
        </w:rPr>
        <w:t xml:space="preserve"> (Auxiliary Features &amp; Covariates)</w:t>
      </w:r>
    </w:p>
    <w:p>
      <w:pPr>
        <w:numPr>
          <w:ilvl w:val="0"/>
          <w:numId w:val="0"/>
        </w:numPr>
        <w:spacing w:line="360" w:lineRule="auto"/>
        <w:ind w:leftChars="0" w:firstLine="420" w:firstLineChars="200"/>
        <w:rPr>
          <w:rFonts w:hint="eastAsia" w:hAnsi="DejaVu Math TeX Gyre" w:eastAsia="宋体" w:cs="宋体"/>
          <w:bCs w:val="0"/>
          <w:i w:val="0"/>
          <w:lang w:val="en-US" w:eastAsia="zh-CN"/>
        </w:rPr>
      </w:pPr>
      <w:r>
        <w:rPr>
          <w:rFonts w:hint="eastAsia" w:hAnsi="DejaVu Math TeX Gyre" w:eastAsia="宋体" w:cs="宋体"/>
          <w:bCs w:val="0"/>
          <w:i w:val="0"/>
          <w:lang w:val="en-US" w:eastAsia="zh-CN"/>
        </w:rPr>
        <w:t>为增强模型的学习能力，本文引入以下企业维度的特征作为协变量</w:t>
      </w:r>
      <w:r>
        <w:rPr>
          <w:rFonts w:hint="eastAsia" w:ascii="宋体" w:hAnsi="宋体" w:eastAsia="宋体" w:cs="宋体"/>
          <w:b w:val="0"/>
          <w:bCs w:val="0"/>
          <w:lang w:val="en-US" w:eastAsia="zh-CN"/>
        </w:rPr>
        <w:t xml:space="preserve"> (Covariates)</w:t>
      </w:r>
      <w:r>
        <w:rPr>
          <w:rFonts w:hint="eastAsia" w:hAnsi="DejaVu Math TeX Gyre" w:eastAsia="宋体" w:cs="宋体"/>
          <w:bCs w:val="0"/>
          <w:i w:val="0"/>
          <w:lang w:val="en-US" w:eastAsia="zh-CN"/>
        </w:rPr>
        <w:t xml:space="preserve"> ：</w:t>
      </w:r>
    </w:p>
    <w:p>
      <w:pPr>
        <w:numPr>
          <w:ilvl w:val="0"/>
          <w:numId w:val="0"/>
        </w:numPr>
        <w:spacing w:line="360" w:lineRule="auto"/>
        <w:ind w:leftChars="0"/>
        <w:rPr>
          <w:rFonts w:hint="default" w:hAnsi="DejaVu Math TeX Gyre" w:eastAsia="宋体" w:cs="宋体"/>
          <w:bCs w:val="0"/>
          <w:i w:val="0"/>
          <w:lang w:val="en-US" w:eastAsia="zh-CN"/>
        </w:rPr>
      </w:pPr>
      <w:r>
        <w:rPr>
          <w:rFonts w:hint="eastAsia" w:hAnsi="DejaVu Math TeX Gyre" w:eastAsia="宋体" w:cs="宋体"/>
          <w:bCs w:val="0"/>
          <w:i w:val="0"/>
          <w:lang w:val="en-US" w:eastAsia="zh-CN"/>
        </w:rPr>
        <w:t>（1）</w:t>
      </w:r>
      <w:r>
        <w:rPr>
          <w:rFonts w:hint="default" w:hAnsi="DejaVu Math TeX Gyre" w:eastAsia="宋体" w:cs="宋体"/>
          <w:bCs w:val="0"/>
          <w:i w:val="0"/>
          <w:lang w:val="en-US" w:eastAsia="zh-CN"/>
        </w:rPr>
        <w:t>动态特征：总资产（</w:t>
      </w:r>
      <w:r>
        <w:rPr>
          <w:rFonts w:hint="eastAsia" w:hAnsi="DejaVu Math TeX Gyre" w:eastAsia="宋体" w:cs="宋体"/>
          <w:bCs w:val="0"/>
          <w:i w:val="0"/>
          <w:lang w:val="en-US" w:eastAsia="zh-CN"/>
        </w:rPr>
        <w:t>对数</w:t>
      </w:r>
      <w:r>
        <w:rPr>
          <w:rFonts w:hint="default" w:hAnsi="DejaVu Math TeX Gyre" w:eastAsia="宋体" w:cs="宋体"/>
          <w:bCs w:val="0"/>
          <w:i w:val="0"/>
          <w:lang w:val="en-US" w:eastAsia="zh-CN"/>
        </w:rPr>
        <w:t>）、资产负债率、营收增长率等。这些指标通过滞后一期处理，确保模型在每一个时间步</w:t>
      </w:r>
      <w:r>
        <w:rPr>
          <w:rFonts w:hint="eastAsia" w:hAnsi="DejaVu Math TeX Gyre" w:eastAsia="宋体" w:cs="宋体"/>
          <w:bCs w:val="0"/>
          <w:i w:val="0"/>
          <w:lang w:val="en-US" w:eastAsia="zh-CN"/>
        </w:rPr>
        <w:t>t</w:t>
      </w:r>
      <w:r>
        <w:rPr>
          <w:rFonts w:hint="default" w:hAnsi="DejaVu Math TeX Gyre" w:eastAsia="宋体" w:cs="宋体"/>
          <w:bCs w:val="0"/>
          <w:i w:val="0"/>
          <w:lang w:val="en-US" w:eastAsia="zh-CN"/>
        </w:rPr>
        <w:t>利用历史观测值预测</w:t>
      </w:r>
      <w:r>
        <w:rPr>
          <w:rFonts w:hint="eastAsia" w:hAnsi="DejaVu Math TeX Gyre" w:eastAsia="宋体" w:cs="宋体"/>
          <w:bCs w:val="0"/>
          <w:i w:val="0"/>
          <w:lang w:val="en-US" w:eastAsia="zh-CN"/>
        </w:rPr>
        <w:t>t+1</w:t>
      </w:r>
      <w:r>
        <w:rPr>
          <w:rFonts w:hint="default" w:hAnsi="DejaVu Math TeX Gyre" w:eastAsia="宋体" w:cs="宋体"/>
          <w:bCs w:val="0"/>
          <w:i w:val="0"/>
          <w:lang w:val="en-US" w:eastAsia="zh-CN"/>
        </w:rPr>
        <w:t>期的目标。</w:t>
      </w:r>
    </w:p>
    <w:p>
      <w:pPr>
        <w:numPr>
          <w:ilvl w:val="0"/>
          <w:numId w:val="0"/>
        </w:numPr>
        <w:spacing w:line="360" w:lineRule="auto"/>
        <w:ind w:leftChars="0"/>
        <w:rPr>
          <w:rFonts w:hint="default" w:hAnsi="DejaVu Math TeX Gyre" w:eastAsia="宋体" w:cs="宋体"/>
          <w:bCs w:val="0"/>
          <w:i w:val="0"/>
          <w:lang w:val="en-US" w:eastAsia="zh-CN"/>
        </w:rPr>
      </w:pPr>
      <w:r>
        <w:rPr>
          <w:rFonts w:hint="eastAsia" w:hAnsi="DejaVu Math TeX Gyre" w:eastAsia="宋体" w:cs="宋体"/>
          <w:bCs w:val="0"/>
          <w:i w:val="0"/>
          <w:lang w:val="en-US" w:eastAsia="zh-CN"/>
        </w:rPr>
        <w:t>（2）</w:t>
      </w:r>
      <w:r>
        <w:rPr>
          <w:rFonts w:hint="default" w:hAnsi="DejaVu Math TeX Gyre" w:eastAsia="宋体" w:cs="宋体"/>
          <w:bCs w:val="0"/>
          <w:i w:val="0"/>
          <w:lang w:val="en-US" w:eastAsia="zh-CN"/>
        </w:rPr>
        <w:t>静态属性：所有制性质、所属行业等，通过嵌入层（Embedding Layer）或独热编码映射为高维向量，以捕捉节点的内在抗风险能力。</w:t>
      </w:r>
    </w:p>
    <w:p>
      <w:pPr>
        <w:numPr>
          <w:ilvl w:val="0"/>
          <w:numId w:val="0"/>
        </w:numPr>
        <w:spacing w:line="360" w:lineRule="auto"/>
        <w:ind w:leftChars="0"/>
        <w:rPr>
          <w:rFonts w:hint="default" w:hAnsi="DejaVu Math TeX Gyre" w:eastAsia="宋体" w:cs="宋体"/>
          <w:bCs w:val="0"/>
          <w:i w:val="0"/>
          <w:lang w:val="en-US" w:eastAsia="zh-CN"/>
        </w:rPr>
      </w:pPr>
      <w:r>
        <w:rPr>
          <w:rFonts w:hint="eastAsia" w:hAnsi="DejaVu Math TeX Gyre" w:eastAsia="宋体" w:cs="宋体"/>
          <w:bCs w:val="0"/>
          <w:i w:val="0"/>
          <w:lang w:val="en-US" w:eastAsia="zh-CN"/>
        </w:rPr>
        <w:t>（3）宏观背景特征：</w:t>
      </w:r>
      <w:r>
        <w:rPr>
          <w:rFonts w:hint="default" w:ascii="宋体" w:hAnsi="宋体" w:eastAsia="宋体" w:cs="宋体"/>
          <w:b w:val="0"/>
          <w:bCs w:val="0"/>
          <w:lang w:val="en-US" w:eastAsia="zh-CN"/>
        </w:rPr>
        <w:t>中国GDP增长率、</w:t>
      </w:r>
      <w:r>
        <w:rPr>
          <w:rFonts w:hint="default" w:ascii="宋体" w:hAnsi="宋体" w:eastAsia="宋体" w:cs="宋体"/>
          <w:b w:val="0"/>
          <w:bCs w:val="0"/>
          <w:color w:val="0000FF"/>
          <w:lang w:val="en-US" w:eastAsia="zh-CN"/>
        </w:rPr>
        <w:t>人民币兑美元汇率</w:t>
      </w:r>
      <w:r>
        <w:rPr>
          <w:rFonts w:hint="eastAsia" w:ascii="宋体" w:hAnsi="宋体" w:eastAsia="宋体" w:cs="宋体"/>
          <w:b w:val="0"/>
          <w:bCs w:val="0"/>
          <w:lang w:val="en-US" w:eastAsia="zh-CN"/>
        </w:rPr>
        <w:t>等</w:t>
      </w:r>
    </w:p>
    <w:p>
      <w:pPr>
        <w:numPr>
          <w:ilvl w:val="0"/>
          <w:numId w:val="0"/>
        </w:numPr>
        <w:spacing w:line="360" w:lineRule="auto"/>
        <w:ind w:leftChars="0"/>
        <w:rPr>
          <w:rFonts w:hint="default" w:hAnsi="DejaVu Math TeX Gyre" w:eastAsia="宋体" w:cs="宋体"/>
          <w:b/>
          <w:bCs/>
          <w:i w:val="0"/>
          <w:lang w:val="en-US" w:eastAsia="zh-CN"/>
        </w:rPr>
      </w:pPr>
      <w:r>
        <w:rPr>
          <w:rFonts w:hint="eastAsia" w:hAnsi="DejaVu Math TeX Gyre" w:eastAsia="宋体" w:cs="宋体"/>
          <w:bCs w:val="0"/>
          <w:i w:val="0"/>
          <w:lang w:val="en-US" w:eastAsia="zh-CN"/>
        </w:rPr>
        <w:t>注：上述连续变量均经过双侧 1% 缩尾处理。</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DejaVu Math TeX Gyre">
    <w:panose1 w:val="02000503000000000000"/>
    <w:charset w:val="00"/>
    <w:family w:val="auto"/>
    <w:pitch w:val="default"/>
    <w:sig w:usb0="A10000EF" w:usb1="4201F9EE" w:usb2="02000000" w:usb3="00000000" w:csb0="60000193" w:csb1="0DD40000"/>
  </w:font>
  <w:font w:name="Microsoft yahei">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FC285D"/>
    <w:multiLevelType w:val="singleLevel"/>
    <w:tmpl w:val="F7FC285D"/>
    <w:lvl w:ilvl="0" w:tentative="0">
      <w:start w:val="1"/>
      <w:numFmt w:val="bullet"/>
      <w:lvlText w:val=""/>
      <w:lvlJc w:val="left"/>
      <w:pPr>
        <w:ind w:left="235" w:leftChars="0" w:hanging="235" w:firstLineChars="0"/>
      </w:pPr>
      <w:rPr>
        <w:rFonts w:hint="default" w:ascii="Wingdings" w:hAnsi="Wingdings"/>
        <w:sz w:val="15"/>
        <w:szCs w:val="15"/>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2"/>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1F6C4C"/>
    <w:rsid w:val="571F6C4C"/>
    <w:rsid w:val="7DB68BCC"/>
    <w:rsid w:val="FB771C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5</TotalTime>
  <ScaleCrop>false</ScaleCrop>
  <LinksUpToDate>false</LinksUpToDate>
  <CharactersWithSpaces>0</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2026-03-12T23:25:00Z</dcterms:created>
  <dc:creator>叶子</dc:creator>
  <cp:lastModifiedBy>叶子</cp:lastModifiedBy>
  <dcterms:modified xsi:type="dcterms:W3CDTF">2026-04-27T16:56:57Z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D196C8D7A346C1EC6A24EF69B7914203_43</vt:lpwstr>
  </property>
</Properties>
</file>