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Spec="center" w:tblpY="1425"/>
        <w:tblOverlap w:val="never"/>
        <w:tblW w:w="8376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1243"/>
        <w:gridCol w:w="5528"/>
      </w:tblGrid>
      <w:tr>
        <w:trPr>
          <w:trHeight w:val="420" w:hRule="atLeast"/>
          <w:jc w:val="center"/>
        </w:trPr>
        <w:tc>
          <w:tcPr>
            <w:tcW w:w="16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bottom w:w="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你的数据怎么算（算法步骤）</w:t>
            </w:r>
          </w:p>
        </w:tc>
      </w:tr>
      <w:tr>
        <w:trPr>
          <w:trHeight w:val="420" w:hRule="atLeast"/>
          <w:jc w:val="center"/>
        </w:trPr>
        <w:tc>
          <w:tcPr>
            <w:tcW w:w="16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点度中心性</w:t>
            </w:r>
          </w:p>
        </w:tc>
        <w:tc>
          <w:tcPr>
            <w:tcW w:w="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“看你认识多少人”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bottom w:w="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统计一个中国企业在 FactSet 表中出现的总次数（连接的客户+供应商总数）。</w:t>
            </w:r>
          </w:p>
        </w:tc>
      </w:tr>
      <w:tr>
        <w:trPr>
          <w:trHeight w:val="420" w:hRule="atLeast"/>
          <w:jc w:val="center"/>
        </w:trPr>
        <w:tc>
          <w:tcPr>
            <w:tcW w:w="16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特征向量中心性</w:t>
            </w:r>
          </w:p>
        </w:tc>
        <w:tc>
          <w:tcPr>
            <w:tcW w:w="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“看你认识多少大人物”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bottom w:w="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不仅看次数，还要看连接的美国企业（如苹果）自身的分值。这是一个递归计算过程。</w:t>
            </w:r>
          </w:p>
        </w:tc>
      </w:tr>
      <w:tr>
        <w:trPr>
          <w:trHeight w:val="420" w:hRule="atLeast"/>
          <w:jc w:val="center"/>
        </w:trPr>
        <w:tc>
          <w:tcPr>
            <w:tcW w:w="16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介数中心性</w:t>
            </w:r>
          </w:p>
        </w:tc>
        <w:tc>
          <w:tcPr>
            <w:tcW w:w="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“看你是不是必经之路”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40" w:type="dxa"/>
              <w:bottom w:w="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计算网络中所有企业两两配对时，有多少条供应路径必须经过这个节点。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节点预测：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1. 网络中心性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这三个中心性是要构建的“网络中心性”的具体算法。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在学术论文中，“网络中心性”是一个指标类别，就像“财务表现”是一个类别，而“利润率、ROE、营收增长”是具体的衡量指标。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在研究“传导效应”时，这三个指标代表了企业在供应链中完全不同的身份。不需要全部用，但通常会选取其中一个作为主要的Y指标，或者都算出来看哪个结果最显著：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</w:t>
      </w:r>
      <w:r>
        <w:rPr>
          <w:rFonts w:hint="default"/>
          <w:color w:val="auto"/>
          <w:lang w:val="en-US" w:eastAsia="zh-CN"/>
        </w:rPr>
        <w:t>如果想研究“广度”：用</w:t>
      </w:r>
      <w:r>
        <w:rPr>
          <w:rFonts w:hint="default"/>
          <w:b/>
          <w:bCs/>
          <w:color w:val="auto"/>
          <w:lang w:val="en-US" w:eastAsia="zh-CN"/>
        </w:rPr>
        <w:t>点度中心性</w:t>
      </w:r>
      <w:r>
        <w:rPr>
          <w:rFonts w:hint="default"/>
          <w:color w:val="auto"/>
          <w:lang w:val="en-US" w:eastAsia="zh-CN"/>
        </w:rPr>
        <w:t>。比如：关税来了，一个中国企业有 50 个美国客户，它的风险广度就是 50。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（2）</w:t>
      </w:r>
      <w:r>
        <w:rPr>
          <w:rFonts w:hint="default"/>
          <w:color w:val="auto"/>
          <w:lang w:val="en-US" w:eastAsia="zh-CN"/>
        </w:rPr>
        <w:t>如果想研究“深度/地位”（最推荐配合 ST-GNN）：用</w:t>
      </w:r>
      <w:r>
        <w:rPr>
          <w:rFonts w:hint="default"/>
          <w:b/>
          <w:bCs/>
          <w:color w:val="auto"/>
          <w:lang w:val="en-US" w:eastAsia="zh-CN"/>
        </w:rPr>
        <w:t>特征向量中心性</w:t>
      </w:r>
      <w:r>
        <w:rPr>
          <w:rFonts w:hint="default"/>
          <w:color w:val="auto"/>
          <w:lang w:val="en-US" w:eastAsia="zh-CN"/>
        </w:rPr>
        <w:t>。比如：一个企业只有一个美国客户，但这个客户是波音（核心节点），那这个中国企业的中心性极高。这最符合“一环扣一环”的传导故事。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</w:t>
      </w:r>
      <w:r>
        <w:rPr>
          <w:rFonts w:hint="default"/>
          <w:color w:val="auto"/>
          <w:lang w:val="en-US" w:eastAsia="zh-CN"/>
        </w:rPr>
        <w:t>如果想研究“控制力”：用</w:t>
      </w:r>
      <w:r>
        <w:rPr>
          <w:rFonts w:hint="default"/>
          <w:b/>
          <w:bCs/>
          <w:color w:val="auto"/>
          <w:lang w:val="en-US" w:eastAsia="zh-CN"/>
        </w:rPr>
        <w:t>介数中心性</w:t>
      </w:r>
      <w:r>
        <w:rPr>
          <w:rFonts w:hint="default"/>
          <w:color w:val="auto"/>
          <w:lang w:val="en-US" w:eastAsia="zh-CN"/>
        </w:rPr>
        <w:t>。衡量的是一个企业作为中介的能力</w:t>
      </w:r>
      <w:r>
        <w:rPr>
          <w:rFonts w:hint="eastAsia"/>
          <w:color w:val="auto"/>
          <w:lang w:val="en-US" w:eastAsia="zh-CN"/>
        </w:rPr>
        <w:t>。</w:t>
      </w:r>
      <w:r>
        <w:rPr>
          <w:rFonts w:hint="default"/>
          <w:color w:val="auto"/>
          <w:lang w:val="en-US" w:eastAsia="zh-CN"/>
        </w:rPr>
        <w:t>比如：某些中间商企业，美国必须通过它才能买到下游的产品，它就是“咽喉”。如果一个节点位于许多其他节点对的最短路径上，那么它的介数中心性就高。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具体构建方法：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（1）点度中心性：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①建立年度有向关系矩阵</w:t>
      </w:r>
      <w:r>
        <w:rPr>
          <w:rFonts w:hint="eastAsia" w:ascii="Calibri" w:hAnsi="Calibri" w:cs="Calibri"/>
          <w:color w:va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从 FactSet 关系表 中提取数据。</w:t>
      </w:r>
      <w:r>
        <w:rPr>
          <w:rFonts w:hint="eastAsia" w:ascii="Calibri" w:hAnsi="Calibri" w:cs="Calibri"/>
          <w:color w:val="auto"/>
          <w:lang w:val="en-US" w:eastAsia="zh-CN"/>
        </w:rPr>
        <w:t>逻辑是：“</w:t>
      </w:r>
      <w:r>
        <w:rPr>
          <w:rFonts w:hint="default" w:ascii="Calibri" w:hAnsi="Calibri" w:cs="Calibri"/>
          <w:color w:val="auto"/>
          <w:lang w:val="en-US" w:eastAsia="zh-CN"/>
        </w:rPr>
        <w:t xml:space="preserve">来源企业（Source） </w:t>
      </w:r>
      <w:r>
        <w:rPr>
          <w:rFonts w:hint="eastAsia" w:ascii="Calibri" w:hAnsi="Calibri" w:cs="Calibri"/>
          <w:color w:val="auto"/>
          <w:lang w:val="en-US" w:eastAsia="zh-CN"/>
        </w:rPr>
        <w:t>”</w:t>
      </w:r>
      <w:r>
        <w:rPr>
          <w:rFonts w:hint="default" w:ascii="Calibri" w:hAnsi="Calibri" w:cs="Calibri"/>
          <w:color w:val="auto"/>
          <w:lang w:val="en-US" w:eastAsia="zh-CN"/>
        </w:rPr>
        <w:t xml:space="preserve">声称 </w:t>
      </w:r>
      <w:r>
        <w:rPr>
          <w:rFonts w:hint="eastAsia" w:ascii="Calibri" w:hAnsi="Calibri" w:cs="Calibri"/>
          <w:color w:val="auto"/>
          <w:lang w:val="en-US" w:eastAsia="zh-CN"/>
        </w:rPr>
        <w:t>“</w:t>
      </w:r>
      <w:r>
        <w:rPr>
          <w:rFonts w:hint="default" w:ascii="Calibri" w:hAnsi="Calibri" w:cs="Calibri"/>
          <w:color w:val="auto"/>
          <w:lang w:val="en-US" w:eastAsia="zh-CN"/>
        </w:rPr>
        <w:t xml:space="preserve">目标企业（Target） </w:t>
      </w:r>
      <w:r>
        <w:rPr>
          <w:rFonts w:hint="eastAsia" w:ascii="Calibri" w:hAnsi="Calibri" w:cs="Calibri"/>
          <w:color w:val="auto"/>
          <w:lang w:val="en-US" w:eastAsia="zh-CN"/>
        </w:rPr>
        <w:t>”</w:t>
      </w:r>
      <w:r>
        <w:rPr>
          <w:rFonts w:hint="default" w:ascii="Calibri" w:hAnsi="Calibri" w:cs="Calibri"/>
          <w:color w:val="auto"/>
          <w:lang w:val="en-US" w:eastAsia="zh-CN"/>
        </w:rPr>
        <w:t>是它的某种关系类型（rel_type）。</w:t>
      </w:r>
      <w:r>
        <w:rPr>
          <w:rFonts w:hint="eastAsia" w:ascii="Calibri" w:hAnsi="Calibri" w:cs="Calibri"/>
          <w:color w:val="auto"/>
          <w:lang w:val="en-US" w:eastAsia="zh-CN"/>
        </w:rPr>
        <w:t>所以，因为我们只要中国企业出口美国的数据，则当来源企业是US，目标企业是CN是，我们需要的关系类型是“供应商（supplier）”（或者其他表示供货关系的关系类型。反之，当来源企业是CN，目标企业是US是，我们需要的关系类型是“客户（customer）”（或其他与客户相似的关系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②</w:t>
      </w:r>
      <w:r>
        <w:rPr>
          <w:rFonts w:hint="default"/>
          <w:color w:val="auto"/>
          <w:lang w:val="en-US" w:eastAsia="zh-CN"/>
        </w:rPr>
        <w:t>计算年度指标值针对 2016–2025 的每一年，为每个中国企业计算：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直接出口点度： 该企业直接连接的美国客户数量。</w:t>
      </w:r>
      <w:r>
        <w:rPr>
          <w:rFonts w:hint="eastAsia"/>
          <w:color w:val="auto"/>
          <w:lang w:val="en-US" w:eastAsia="zh-CN"/>
        </w:rPr>
        <w:t>（作为下述公式的分子）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供应链总点度： 该企业在国内连接的供应商 + 国外连接的客户。</w:t>
      </w:r>
      <w:r>
        <w:rPr>
          <w:rFonts w:hint="eastAsia"/>
          <w:color w:val="auto"/>
          <w:lang w:val="en-US" w:eastAsia="zh-CN"/>
        </w:rPr>
        <w:t>（我们不考虑国内供应链，则可以不计算）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 w:ascii="Calibri" w:hAnsi="Calibri" w:cs="Calibri"/>
          <w:color w:val="auto"/>
          <w:lang w:val="en-US" w:eastAsia="zh-CN"/>
        </w:rPr>
        <w:t>③</w:t>
      </w:r>
      <w:r>
        <w:rPr>
          <w:rFonts w:hint="default"/>
          <w:color w:val="auto"/>
          <w:lang w:val="en-US" w:eastAsia="zh-CN"/>
        </w:rPr>
        <w:t>标准化处理</w:t>
      </w:r>
      <w:r>
        <w:rPr>
          <w:rFonts w:hint="eastAsia"/>
          <w:color w:val="auto"/>
          <w:lang w:val="en-US" w:eastAsia="zh-CN"/>
        </w:rPr>
        <w:t>。</w:t>
      </w:r>
      <w:r>
        <w:rPr>
          <w:rFonts w:hint="default"/>
          <w:color w:val="auto"/>
          <w:lang w:val="en-US" w:eastAsia="zh-CN"/>
        </w:rPr>
        <w:t>由于网络规模在逐年扩大（FactSet 记录也在增加），不能直接用绝对数。</w:t>
      </w: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70500" cy="1069975"/>
            <wp:effectExtent l="0" t="0" r="12700" b="22225"/>
            <wp:docPr id="1" name="图片 1" descr="截屏2026-03-15 17.33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3-15 17.33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意义： 这样算出的值在 0 到 1 之间，方便 ST-GNN 模型进行特征聚合。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（2）特征向量中心性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0"/>
          <w:szCs w:val="20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70500" cy="3028950"/>
            <wp:effectExtent l="0" t="0" r="12700" b="19050"/>
            <wp:docPr id="2" name="图片 2" descr="截屏2026-03-15 17.43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3-15 17.43.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第三步：使用 Python 进行算法实现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0"/>
          <w:szCs w:val="20"/>
        </w:rPr>
      </w:pPr>
      <w:r>
        <w:rPr>
          <w:sz w:val="20"/>
          <w:szCs w:val="20"/>
        </w:rPr>
        <w:t xml:space="preserve">在实际研究中，需要用 Python 的 </w:t>
      </w:r>
      <w:r>
        <w:rPr>
          <w:rStyle w:val="7"/>
          <w:sz w:val="20"/>
          <w:szCs w:val="20"/>
        </w:rPr>
        <w:t>networkx</w:t>
      </w:r>
      <w:r>
        <w:rPr>
          <w:sz w:val="20"/>
          <w:szCs w:val="20"/>
        </w:rPr>
        <w:t xml:space="preserve"> 库来执行这个数学过程：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70500" cy="1537970"/>
            <wp:effectExtent l="0" t="0" r="12700" b="11430"/>
            <wp:docPr id="4" name="图片 4" descr="截屏2026-03-15 17.40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3-15 17.40.59"/>
                    <pic:cNvPicPr>
                      <a:picLocks noChangeAspect="1"/>
                    </pic:cNvPicPr>
                  </pic:nvPicPr>
                  <pic:blipFill>
                    <a:blip r:embed="rId6"/>
                    <a:srcRect t="144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AI给的python代码，仅供参考：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659630" cy="3028950"/>
            <wp:effectExtent l="0" t="0" r="0" b="0"/>
            <wp:docPr id="3" name="图片 3" descr="截屏2026-03-15 17.44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3-15 17.44.21"/>
                    <pic:cNvPicPr>
                      <a:picLocks noChangeAspect="1"/>
                    </pic:cNvPicPr>
                  </pic:nvPicPr>
                  <pic:blipFill>
                    <a:blip r:embed="rId7"/>
                    <a:srcRect l="7193" r="4398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（3）介数中心性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70500" cy="3028950"/>
            <wp:effectExtent l="0" t="0" r="12700" b="19050"/>
            <wp:docPr id="5" name="图片 5" descr="截屏2026-03-15 17.55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3-15 17.55.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70500" cy="3028950"/>
            <wp:effectExtent l="0" t="0" r="12700" b="19050"/>
            <wp:docPr id="6" name="图片 6" descr="截屏2026-03-15 17.55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3-15 17.55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 脆弱性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脆弱性衡量的是：当美国客户受到关税打击时，中国供应商由于缺乏替代方案或过度依赖，导致自身业绩坍塌的风险程度。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高脆弱性的表现： 一个中国企业 90% 的收入来自美国单一客户，且该客户采购的产品就在 301 关税清单上。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低脆弱性的表现： 一个中国企业虽然出口美国，但客户分散，且大部分产品属于关税豁免范围。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3028950"/>
            <wp:effectExtent l="0" t="0" r="12700" b="19050"/>
            <wp:docPr id="7" name="图片 7" descr="截屏2026-03-15 18.06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3-15 18.06.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2256155"/>
            <wp:effectExtent l="0" t="0" r="0" b="0"/>
            <wp:docPr id="8" name="图片 8" descr="截屏2026-03-15 18.06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3-15 18.06.49"/>
                    <pic:cNvPicPr>
                      <a:picLocks noChangeAspect="1"/>
                    </pic:cNvPicPr>
                  </pic:nvPicPr>
                  <pic:blipFill>
                    <a:blip r:embed="rId11"/>
                    <a:srcRect b="211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2241550"/>
            <wp:effectExtent l="0" t="0" r="12700" b="19050"/>
            <wp:docPr id="9" name="图片 9" descr="截屏2026-03-15 18.07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3-15 18.07.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边预测：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1. </w:t>
      </w:r>
      <w:r>
        <w:rPr>
          <w:rFonts w:hint="default"/>
          <w:color w:val="FF0000"/>
          <w:lang w:val="en-US" w:eastAsia="zh-CN"/>
        </w:rPr>
        <w:t>供应链拓扑重构指数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供应链拓扑重构指数衡量的是一个企业在关税冲击后，其合作伙伴（边）的</w:t>
      </w:r>
      <w:r>
        <w:rPr>
          <w:rFonts w:hint="eastAsia" w:ascii="Calibri" w:hAnsi="Calibri" w:cs="Calibri"/>
          <w:color w:val="auto"/>
          <w:lang w:val="en-US" w:eastAsia="zh-CN"/>
        </w:rPr>
        <w:t>“</w:t>
      </w:r>
      <w:r>
        <w:rPr>
          <w:rFonts w:hint="default" w:ascii="Calibri" w:hAnsi="Calibri" w:cs="Calibri"/>
          <w:color w:val="auto"/>
          <w:lang w:val="en-US" w:eastAsia="zh-CN"/>
        </w:rPr>
        <w:t>洗牌</w:t>
      </w:r>
      <w:r>
        <w:rPr>
          <w:rFonts w:hint="eastAsia" w:ascii="Calibri" w:hAnsi="Calibri" w:cs="Calibri"/>
          <w:color w:val="auto"/>
          <w:lang w:val="en-US" w:eastAsia="zh-CN"/>
        </w:rPr>
        <w:t>”</w:t>
      </w:r>
      <w:r>
        <w:rPr>
          <w:rFonts w:hint="default" w:ascii="Calibri" w:hAnsi="Calibri" w:cs="Calibri"/>
          <w:color w:val="auto"/>
          <w:lang w:val="en-US" w:eastAsia="zh-CN"/>
        </w:rPr>
        <w:t>程度。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低重构： 企业的供应商和客户保持稳定，连接没有发生增减。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t>高重构： 企业的美国客户大量流失（断链），同时为了生存，企业迅速建立了国内或其他国家的替代客户（补链）。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2880995"/>
            <wp:effectExtent l="0" t="0" r="12700" b="14605"/>
            <wp:docPr id="10" name="图片 10" descr="截屏2026-03-15 18.17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3-15 18.17.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  <w:r>
        <w:rPr>
          <w:rFonts w:hint="default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935355"/>
            <wp:effectExtent l="0" t="0" r="12700" b="4445"/>
            <wp:docPr id="11" name="图片 11" descr="截屏2026-03-15 18.17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03-15 18.17.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具体构建方法：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Calibri" w:hAnsi="Calibri" w:cs="Calibri"/>
          <w:color w:val="auto"/>
          <w:lang w:val="en-US" w:eastAsia="zh-CN"/>
        </w:rPr>
      </w:pPr>
      <w:r>
        <w:rPr>
          <w:rFonts w:hint="eastAsia" w:ascii="Calibri" w:hAnsi="Calibri" w:cs="Calibri"/>
          <w:color w:val="auto"/>
          <w:lang w:val="en-US" w:eastAsia="zh-CN"/>
        </w:rPr>
        <w:t>首先要注意的是，在计算这个指标时，不能只看美国客户，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Calibri" w:hAnsi="Calibri" w:cs="Calibri"/>
          <w:color w:val="auto"/>
          <w:lang w:val="en-US" w:eastAsia="zh-CN"/>
        </w:rPr>
      </w:pPr>
      <w:r>
        <w:rPr>
          <w:rFonts w:hint="eastAsia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2342515"/>
            <wp:effectExtent l="0" t="0" r="12700" b="19685"/>
            <wp:docPr id="12" name="图片 12" descr="截屏2026-03-15 18.27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03-15 18.27.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Calibri" w:hAnsi="Calibri" w:cs="Calibri"/>
          <w:color w:val="auto"/>
          <w:lang w:val="en-US" w:eastAsia="zh-CN"/>
        </w:rPr>
      </w:pPr>
      <w:r>
        <w:rPr>
          <w:rFonts w:hint="eastAsia" w:ascii="Calibri" w:hAnsi="Calibri" w:cs="Calibri"/>
          <w:color w:val="auto"/>
          <w:lang w:val="en-US" w:eastAsia="zh-CN"/>
        </w:rPr>
        <w:t>AI建议更正指标名称为“中国企业出口市场重构指数”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Calibri" w:hAnsi="Calibri" w:cs="Calibri"/>
          <w:color w:val="auto"/>
          <w:lang w:val="en-US" w:eastAsia="zh-CN"/>
        </w:rPr>
      </w:pPr>
      <w:r>
        <w:rPr>
          <w:rFonts w:hint="eastAsia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3049270"/>
            <wp:effectExtent l="0" t="0" r="12700" b="24130"/>
            <wp:docPr id="13" name="图片 13" descr="截屏2026-03-15 18.29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03-15 18.29.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3049270"/>
            <wp:effectExtent l="0" t="0" r="12700" b="24130"/>
            <wp:docPr id="14" name="图片 14" descr="截屏2026-03-15 18.3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6-03-15 18.30.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Calibri" w:hAnsi="Calibri" w:cs="Calibri"/>
          <w:color w:val="auto"/>
          <w:lang w:val="en-US" w:eastAsia="zh-CN"/>
        </w:rPr>
        <w:drawing>
          <wp:inline distT="0" distB="0" distL="114300" distR="114300">
            <wp:extent cx="5270500" cy="969010"/>
            <wp:effectExtent l="0" t="0" r="12700" b="21590"/>
            <wp:docPr id="15" name="图片 15" descr="截屏2026-03-15 18.3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6-03-15 18.30.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Calibri" w:hAnsi="Calibri" w:cs="Calibri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B51377"/>
    <w:multiLevelType w:val="singleLevel"/>
    <w:tmpl w:val="5BB513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B2DA6"/>
    <w:rsid w:val="76FB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2026-03-15T17:05:00Z</dcterms:created>
  <dc:creator>叶子</dc:creator>
  <cp:lastModifiedBy>叶子</cp:lastModifiedBy>
  <dcterms:modified xsi:type="dcterms:W3CDTF">2026-03-15T18:31:27Z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A4A19AD2471589165A76B669B3256665_41</vt:lpwstr>
  </property>
</Properties>
</file>