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Institutional Readiness Support Gate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Firms with &gt;=1 architecture</w:t>
            </w:r>
          </w:p>
        </w:tc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Firms with &gt;=2 architectures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Balanced panel firms</w:t>
            </w:r>
          </w:p>
        </w:tc>
        <w:tc>
          <w:tcPr>
            <w:tcW w:type="dxa" w:w="2160"/>
          </w:tcPr>
          <w:p>
            <w:r>
              <w:t>2556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Minimum annual positive outcomes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Pre-policy industries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Exposed firms in singleton strata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