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2268"/>
        <w:gridCol w:w="1560"/>
        <w:gridCol w:w="5234"/>
      </w:tblGrid>
      <w:tr w:rsidR="00113C79" w:rsidTr="00EE0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13C79" w:rsidRDefault="00113C79" w:rsidP="00EA7D7F">
            <w:pPr>
              <w:jc w:val="center"/>
            </w:pPr>
            <w:r>
              <w:t>Symbole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13C79" w:rsidRDefault="00113C79" w:rsidP="00EA7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Unité</w:t>
            </w:r>
          </w:p>
        </w:tc>
        <w:tc>
          <w:tcPr>
            <w:tcW w:w="52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13C79" w:rsidRDefault="00113C79" w:rsidP="00EA7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</w:tr>
      <w:tr w:rsidR="00113C79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  <w:vAlign w:val="center"/>
          </w:tcPr>
          <w:p w:rsidR="00113C79" w:rsidRDefault="00113303" w:rsidP="00EA7D7F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113C79" w:rsidRDefault="00113C79" w:rsidP="00EA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4" w:type="dxa"/>
            <w:tcBorders>
              <w:top w:val="single" w:sz="12" w:space="0" w:color="auto"/>
            </w:tcBorders>
            <w:vAlign w:val="center"/>
          </w:tcPr>
          <w:p w:rsidR="00113C79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P</w:t>
            </w:r>
            <w:r w:rsidR="00EA7D7F">
              <w:rPr>
                <w:rFonts w:eastAsiaTheme="minorEastAsia"/>
              </w:rPr>
              <w:t xml:space="preserve">aramètre de taille </w:t>
            </w:r>
            <w:r w:rsidR="00EA7D7F">
              <w:rPr>
                <w:rFonts w:eastAsiaTheme="minorEastAsia"/>
              </w:rPr>
              <w:t>des particules</w:t>
            </w:r>
          </w:p>
        </w:tc>
      </w:tr>
      <w:tr w:rsidR="00113C79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13C79" w:rsidRDefault="00113C79" w:rsidP="00EA7D7F">
            <w:pPr>
              <w:jc w:val="center"/>
            </w:pPr>
          </w:p>
        </w:tc>
        <w:tc>
          <w:tcPr>
            <w:tcW w:w="1560" w:type="dxa"/>
            <w:vAlign w:val="center"/>
          </w:tcPr>
          <w:p w:rsidR="00113C79" w:rsidRDefault="00113C79" w:rsidP="00EA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113C79" w:rsidRDefault="00113C79" w:rsidP="00EA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C79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13C79" w:rsidRDefault="009B1FA8" w:rsidP="00EA7D7F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d</m:t>
                </m:r>
              </m:oMath>
            </m:oMathPara>
          </w:p>
        </w:tc>
        <w:tc>
          <w:tcPr>
            <w:tcW w:w="1560" w:type="dxa"/>
            <w:vAlign w:val="center"/>
          </w:tcPr>
          <w:p w:rsidR="00113C79" w:rsidRDefault="00113C79" w:rsidP="00EA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113C79" w:rsidRDefault="00957B81" w:rsidP="00EA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cstheme="minorHAnsi"/>
              </w:rPr>
              <w:t>P</w:t>
            </w:r>
            <w:r w:rsidRPr="00852314">
              <w:rPr>
                <w:rFonts w:eastAsiaTheme="minorEastAsia" w:cstheme="minorHAnsi"/>
              </w:rPr>
              <w:t>aramètre de largeur pour le spectre Debye</w:t>
            </w:r>
          </w:p>
        </w:tc>
      </w:tr>
      <w:tr w:rsidR="00113303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13303" w:rsidRPr="00852314" w:rsidRDefault="00113303" w:rsidP="00EA7D7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113303" w:rsidRDefault="00957B81" w:rsidP="00EA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[mm]</w:t>
            </w:r>
          </w:p>
        </w:tc>
        <w:tc>
          <w:tcPr>
            <w:tcW w:w="5234" w:type="dxa"/>
            <w:vAlign w:val="center"/>
          </w:tcPr>
          <w:p w:rsidR="00113303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Diamètre de la particule de variété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113303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13303" w:rsidRDefault="00113303" w:rsidP="00EA7D7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113303" w:rsidRDefault="00957B81" w:rsidP="00EA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[mm]</w:t>
            </w:r>
          </w:p>
        </w:tc>
        <w:tc>
          <w:tcPr>
            <w:tcW w:w="5234" w:type="dxa"/>
            <w:vAlign w:val="center"/>
          </w:tcPr>
          <w:p w:rsidR="00113303" w:rsidRDefault="00957B81" w:rsidP="00EA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Diamètre</w:t>
            </w:r>
            <w:r>
              <w:t xml:space="preserve"> maximum</w:t>
            </w:r>
            <w:r>
              <w:t xml:space="preserve"> de la particule de variété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113303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13303" w:rsidRPr="00852314" w:rsidRDefault="00113303" w:rsidP="00EA7D7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113303" w:rsidRDefault="00957B81" w:rsidP="00EA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[mm]</w:t>
            </w:r>
          </w:p>
        </w:tc>
        <w:tc>
          <w:tcPr>
            <w:tcW w:w="5234" w:type="dxa"/>
            <w:vAlign w:val="center"/>
          </w:tcPr>
          <w:p w:rsidR="00113303" w:rsidRDefault="00957B81" w:rsidP="00EA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Diamètre de la particule de pluie</w:t>
            </w:r>
          </w:p>
        </w:tc>
      </w:tr>
      <w:tr w:rsidR="00113303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13303" w:rsidRPr="00852314" w:rsidRDefault="00113303" w:rsidP="00EA7D7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113303" w:rsidRDefault="00957B81" w:rsidP="00EA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[mm]</w:t>
            </w:r>
          </w:p>
        </w:tc>
        <w:tc>
          <w:tcPr>
            <w:tcW w:w="5234" w:type="dxa"/>
            <w:vAlign w:val="center"/>
          </w:tcPr>
          <w:p w:rsidR="00113303" w:rsidRDefault="00957B81" w:rsidP="00EA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Diamètre maximum des particules de pluie</w:t>
            </w:r>
          </w:p>
        </w:tc>
      </w:tr>
      <w:tr w:rsidR="00113303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13303" w:rsidRPr="00852314" w:rsidRDefault="00113303" w:rsidP="00EA7D7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60" w:type="dxa"/>
            <w:vAlign w:val="center"/>
          </w:tcPr>
          <w:p w:rsidR="00113303" w:rsidRDefault="00113303" w:rsidP="00EA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113303" w:rsidRDefault="00113303" w:rsidP="00EA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C79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13C79" w:rsidRDefault="009B1FA8" w:rsidP="00EA7D7F">
            <w:pPr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ox,i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113C79" w:rsidRDefault="00957B81" w:rsidP="00EA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[GHz]</w:t>
            </w:r>
          </w:p>
        </w:tc>
        <w:tc>
          <w:tcPr>
            <w:tcW w:w="5234" w:type="dxa"/>
            <w:vAlign w:val="center"/>
          </w:tcPr>
          <w:p w:rsidR="00113C79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130E">
              <w:rPr>
                <w:rFonts w:eastAsiaTheme="minorEastAsia"/>
              </w:rPr>
              <w:t>largeur de</w:t>
            </w:r>
            <w:r>
              <w:rPr>
                <w:rFonts w:eastAsiaTheme="minorEastAsia"/>
              </w:rPr>
              <w:t xml:space="preserve">s </w:t>
            </w:r>
            <w:r w:rsidRPr="0064130E">
              <w:rPr>
                <w:rFonts w:eastAsiaTheme="minorEastAsia"/>
              </w:rPr>
              <w:t>ligne</w:t>
            </w:r>
            <w:r>
              <w:rPr>
                <w:rFonts w:eastAsiaTheme="minorEastAsia"/>
              </w:rPr>
              <w:t>s</w:t>
            </w:r>
            <w:r w:rsidRPr="0064130E">
              <w:rPr>
                <w:rFonts w:eastAsiaTheme="minorEastAsia"/>
              </w:rPr>
              <w:t xml:space="preserve"> d'absorption de l'oxygène</w:t>
            </w:r>
          </w:p>
        </w:tc>
      </w:tr>
      <w:tr w:rsidR="00113C79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13C79" w:rsidRDefault="009B1FA8" w:rsidP="00EA7D7F">
            <w:pPr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wv,i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113C79" w:rsidRDefault="00957B81" w:rsidP="00EA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[GHz]</w:t>
            </w:r>
          </w:p>
        </w:tc>
        <w:tc>
          <w:tcPr>
            <w:tcW w:w="5234" w:type="dxa"/>
            <w:vAlign w:val="center"/>
          </w:tcPr>
          <w:p w:rsidR="00113C79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30E">
              <w:rPr>
                <w:rFonts w:eastAsiaTheme="minorEastAsia"/>
              </w:rPr>
              <w:t>largeur de</w:t>
            </w:r>
            <w:r>
              <w:rPr>
                <w:rFonts w:eastAsiaTheme="minorEastAsia"/>
              </w:rPr>
              <w:t>s</w:t>
            </w:r>
            <w:r w:rsidRPr="0064130E">
              <w:rPr>
                <w:rFonts w:eastAsiaTheme="minorEastAsia"/>
              </w:rPr>
              <w:t xml:space="preserve"> ligne</w:t>
            </w:r>
            <w:r>
              <w:rPr>
                <w:rFonts w:eastAsiaTheme="minorEastAsia"/>
              </w:rPr>
              <w:t>s</w:t>
            </w:r>
            <w:r w:rsidRPr="0064130E">
              <w:rPr>
                <w:rFonts w:eastAsiaTheme="minorEastAsia"/>
              </w:rPr>
              <w:t xml:space="preserve"> d'absorption de </w:t>
            </w:r>
            <w:r>
              <w:rPr>
                <w:rFonts w:eastAsiaTheme="minorEastAsia"/>
              </w:rPr>
              <w:t>la vapeur d’eau</w:t>
            </w:r>
          </w:p>
        </w:tc>
      </w:tr>
      <w:tr w:rsidR="00113C79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13C79" w:rsidRDefault="00113C79" w:rsidP="00EA7D7F">
            <w:pPr>
              <w:jc w:val="center"/>
            </w:pPr>
          </w:p>
        </w:tc>
        <w:tc>
          <w:tcPr>
            <w:tcW w:w="1560" w:type="dxa"/>
            <w:vAlign w:val="center"/>
          </w:tcPr>
          <w:p w:rsidR="00113C79" w:rsidRDefault="00113C79" w:rsidP="00EA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113C79" w:rsidRDefault="00113C79" w:rsidP="00EA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C79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13C79" w:rsidRDefault="009B1FA8" w:rsidP="00EA7D7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Cs w:val="24"/>
                        <w:lang w:val="en-US"/>
                      </w:rPr>
                      <m:t>ε</m:t>
                    </m:r>
                    <m:ctrlPr>
                      <w:rPr>
                        <w:rFonts w:ascii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Cs w:val="24"/>
                        <w:lang w:val="en-US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113C79" w:rsidRDefault="00957B81" w:rsidP="00EA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[F.m</w:t>
            </w:r>
            <w:r w:rsidRPr="00957B81"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w="5234" w:type="dxa"/>
            <w:vAlign w:val="center"/>
          </w:tcPr>
          <w:p w:rsidR="00113C79" w:rsidRDefault="00957B81" w:rsidP="00EA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Permittivité de l’eau</w:t>
            </w:r>
          </w:p>
        </w:tc>
      </w:tr>
      <w:tr w:rsidR="009B1FA8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B1FA8" w:rsidRDefault="009B1FA8" w:rsidP="00EA7D7F">
            <w:pPr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mbria Math"/>
                        <w:b w:val="0"/>
                        <w:bCs w:val="0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Cs w:val="24"/>
                        <w:lang w:val="en-US"/>
                      </w:rPr>
                      <m:t>ε</m:t>
                    </m:r>
                    <m:ctrlPr>
                      <w:rPr>
                        <w:rFonts w:ascii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Cs w:val="24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 w:cs="Cambria Math"/>
                        <w:i/>
                        <w:szCs w:val="24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 w:cs="Cambria Math"/>
                        <w:szCs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560" w:type="dxa"/>
            <w:vAlign w:val="center"/>
          </w:tcPr>
          <w:p w:rsidR="009B1FA8" w:rsidRDefault="00957B81" w:rsidP="00EA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[F.m</w:t>
            </w:r>
            <w:r w:rsidRPr="00957B81"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w="5234" w:type="dxa"/>
            <w:vAlign w:val="center"/>
          </w:tcPr>
          <w:p w:rsidR="009B1FA8" w:rsidRDefault="00957B81" w:rsidP="00EA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 réelle de la permittivité de l’eau</w:t>
            </w:r>
          </w:p>
        </w:tc>
      </w:tr>
      <w:tr w:rsidR="009B1FA8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B1FA8" w:rsidRDefault="009B1FA8" w:rsidP="00EA7D7F">
            <w:pPr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mbria Math"/>
                        <w:b w:val="0"/>
                        <w:bCs w:val="0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Cs w:val="24"/>
                        <w:lang w:val="en-US"/>
                      </w:rPr>
                      <m:t>ε</m:t>
                    </m:r>
                    <m:ctrlPr>
                      <w:rPr>
                        <w:rFonts w:ascii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Cs w:val="24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 w:cs="Cambria Math"/>
                        <w:i/>
                        <w:szCs w:val="24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 w:cs="Cambria Math"/>
                        <w:szCs w:val="24"/>
                      </w:rPr>
                      <m:t>'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Cs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560" w:type="dxa"/>
            <w:vAlign w:val="center"/>
          </w:tcPr>
          <w:p w:rsidR="009B1FA8" w:rsidRDefault="00957B81" w:rsidP="00EA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[F.m</w:t>
            </w:r>
            <w:r w:rsidRPr="00957B81"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w="5234" w:type="dxa"/>
            <w:vAlign w:val="center"/>
          </w:tcPr>
          <w:p w:rsidR="009B1FA8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Partie </w:t>
            </w:r>
            <w:r>
              <w:t>imaginaire</w:t>
            </w:r>
            <w:r>
              <w:t xml:space="preserve"> de la permittivité de l’eau</w:t>
            </w:r>
          </w:p>
        </w:tc>
      </w:tr>
      <w:tr w:rsidR="009B1FA8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B1FA8" w:rsidRDefault="009B1FA8" w:rsidP="00EA7D7F">
            <w:pPr>
              <w:jc w:val="center"/>
              <w:rPr>
                <w:rFonts w:ascii="Calibri" w:eastAsia="Calibri" w:hAnsi="Calibri" w:cs="Times New Roman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9B1FA8" w:rsidRDefault="009B1FA8" w:rsidP="00EA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9B1FA8" w:rsidRDefault="009B1FA8" w:rsidP="00EA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C79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13C79" w:rsidRDefault="009B1FA8" w:rsidP="00EA7D7F">
            <w:pPr>
              <w:jc w:val="center"/>
            </w:pPr>
            <w:r>
              <w:rPr>
                <w:rFonts w:ascii="Cambria Math" w:hAnsi="Cambria Math" w:cs="Cambria Math"/>
              </w:rPr>
              <w:t>𝑓</w:t>
            </w:r>
          </w:p>
        </w:tc>
        <w:tc>
          <w:tcPr>
            <w:tcW w:w="1560" w:type="dxa"/>
            <w:vAlign w:val="center"/>
          </w:tcPr>
          <w:p w:rsidR="00113C79" w:rsidRDefault="00957B81" w:rsidP="00EA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[GHz]</w:t>
            </w:r>
          </w:p>
        </w:tc>
        <w:tc>
          <w:tcPr>
            <w:tcW w:w="5234" w:type="dxa"/>
            <w:vAlign w:val="center"/>
          </w:tcPr>
          <w:p w:rsidR="00113C79" w:rsidRDefault="00957B81" w:rsidP="00EA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Fréquence</w:t>
            </w:r>
          </w:p>
        </w:tc>
      </w:tr>
      <w:tr w:rsidR="00113C79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13C79" w:rsidRDefault="009B1FA8" w:rsidP="00EA7D7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ox,i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113C79" w:rsidRDefault="00113C79" w:rsidP="00EA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113C79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facteur de forme de</w:t>
            </w:r>
            <w:r>
              <w:t>s</w:t>
            </w:r>
            <w:r>
              <w:t xml:space="preserve"> ligne</w:t>
            </w:r>
            <w:r>
              <w:t>s</w:t>
            </w:r>
            <w:r>
              <w:t xml:space="preserve"> d'absorption</w:t>
            </w:r>
            <w:r>
              <w:t xml:space="preserve"> de l’oxygène</w:t>
            </w:r>
          </w:p>
        </w:tc>
      </w:tr>
      <w:tr w:rsidR="00957B81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wv,i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facteur de forme des lignes d'absorption de </w:t>
            </w:r>
            <w:r>
              <w:t>la vapeur</w:t>
            </w:r>
          </w:p>
        </w:tc>
      </w:tr>
      <w:tr w:rsidR="00957B81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</w:pPr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B81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HAnsi"/>
              </w:rPr>
              <w:t>[</w:t>
            </w:r>
            <w:r>
              <w:rPr>
                <w:rFonts w:ascii="Cambria Math" w:eastAsiaTheme="minorEastAsia" w:hAnsi="Cambria Math" w:cs="Cambria Math"/>
              </w:rPr>
              <w:t>dB.km</w:t>
            </w:r>
            <w:r w:rsidRPr="000F2F91">
              <w:rPr>
                <w:rFonts w:ascii="Cambria Math" w:eastAsiaTheme="minorEastAsia" w:hAnsi="Cambria Math" w:cs="Cambria Math"/>
                <w:vertAlign w:val="superscript"/>
              </w:rPr>
              <w:t>-1</w:t>
            </w:r>
            <w:r>
              <w:rPr>
                <w:rFonts w:ascii="Cambria Math" w:eastAsiaTheme="minorEastAsia" w:hAnsi="Cambria Math" w:cs="Cambria Math"/>
              </w:rPr>
              <w:t>]</w:t>
            </w: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Atténuation spécifique de l’atténuant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957B81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ga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cstheme="minorHAnsi"/>
              </w:rPr>
              <w:t>[</w:t>
            </w:r>
            <w:r>
              <w:rPr>
                <w:rFonts w:ascii="Cambria Math" w:eastAsiaTheme="minorEastAsia" w:hAnsi="Cambria Math" w:cs="Cambria Math"/>
              </w:rPr>
              <w:t>dB.km</w:t>
            </w:r>
            <w:r w:rsidRPr="000F2F91">
              <w:rPr>
                <w:rFonts w:ascii="Cambria Math" w:eastAsiaTheme="minorEastAsia" w:hAnsi="Cambria Math" w:cs="Cambria Math"/>
                <w:vertAlign w:val="superscript"/>
              </w:rPr>
              <w:t>-1</w:t>
            </w:r>
            <w:r>
              <w:rPr>
                <w:rFonts w:ascii="Cambria Math" w:eastAsiaTheme="minorEastAsia" w:hAnsi="Cambria Math" w:cs="Cambria Math"/>
              </w:rPr>
              <w:t>]</w:t>
            </w: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Atténuation spécifique</w:t>
            </w:r>
            <w:r>
              <w:t xml:space="preserve"> des gaz de l’atmosphère</w:t>
            </w:r>
          </w:p>
        </w:tc>
      </w:tr>
      <w:tr w:rsidR="00957B81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ox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HAnsi"/>
              </w:rPr>
              <w:t>[</w:t>
            </w:r>
            <w:r>
              <w:rPr>
                <w:rFonts w:ascii="Cambria Math" w:eastAsiaTheme="minorEastAsia" w:hAnsi="Cambria Math" w:cs="Cambria Math"/>
              </w:rPr>
              <w:t>dB.km</w:t>
            </w:r>
            <w:r w:rsidRPr="000F2F91">
              <w:rPr>
                <w:rFonts w:ascii="Cambria Math" w:eastAsiaTheme="minorEastAsia" w:hAnsi="Cambria Math" w:cs="Cambria Math"/>
                <w:vertAlign w:val="superscript"/>
              </w:rPr>
              <w:t>-1</w:t>
            </w:r>
            <w:r>
              <w:rPr>
                <w:rFonts w:ascii="Cambria Math" w:eastAsiaTheme="minorEastAsia" w:hAnsi="Cambria Math" w:cs="Cambria Math"/>
              </w:rPr>
              <w:t>]</w:t>
            </w: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Atténuation spécifique</w:t>
            </w:r>
            <w:r>
              <w:t xml:space="preserve"> de l’oxygène</w:t>
            </w:r>
          </w:p>
        </w:tc>
      </w:tr>
      <w:tr w:rsidR="00957B81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wv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cstheme="minorHAnsi"/>
              </w:rPr>
              <w:t>[</w:t>
            </w:r>
            <w:r>
              <w:rPr>
                <w:rFonts w:ascii="Cambria Math" w:eastAsiaTheme="minorEastAsia" w:hAnsi="Cambria Math" w:cs="Cambria Math"/>
              </w:rPr>
              <w:t>dB.km</w:t>
            </w:r>
            <w:r w:rsidRPr="000F2F91">
              <w:rPr>
                <w:rFonts w:ascii="Cambria Math" w:eastAsiaTheme="minorEastAsia" w:hAnsi="Cambria Math" w:cs="Cambria Math"/>
                <w:vertAlign w:val="superscript"/>
              </w:rPr>
              <w:t>-1</w:t>
            </w:r>
            <w:r>
              <w:rPr>
                <w:rFonts w:ascii="Cambria Math" w:eastAsiaTheme="minorEastAsia" w:hAnsi="Cambria Math" w:cs="Cambria Math"/>
              </w:rPr>
              <w:t>]</w:t>
            </w: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Atténuation spécifique</w:t>
            </w:r>
            <w:r>
              <w:t xml:space="preserve"> de la vapeur d’eau</w:t>
            </w:r>
          </w:p>
        </w:tc>
      </w:tr>
      <w:tr w:rsidR="00957B81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cl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HAnsi"/>
              </w:rPr>
              <w:t>[</w:t>
            </w:r>
            <w:r>
              <w:rPr>
                <w:rFonts w:ascii="Cambria Math" w:eastAsiaTheme="minorEastAsia" w:hAnsi="Cambria Math" w:cs="Cambria Math"/>
              </w:rPr>
              <w:t>dB.km</w:t>
            </w:r>
            <w:r w:rsidRPr="000F2F91">
              <w:rPr>
                <w:rFonts w:ascii="Cambria Math" w:eastAsiaTheme="minorEastAsia" w:hAnsi="Cambria Math" w:cs="Cambria Math"/>
                <w:vertAlign w:val="superscript"/>
              </w:rPr>
              <w:t>-1</w:t>
            </w:r>
            <w:r>
              <w:rPr>
                <w:rFonts w:ascii="Cambria Math" w:eastAsiaTheme="minorEastAsia" w:hAnsi="Cambria Math" w:cs="Cambria Math"/>
              </w:rPr>
              <w:t>]</w:t>
            </w: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Atténuation spécifique</w:t>
            </w:r>
            <w:r>
              <w:t xml:space="preserve"> des nuages</w:t>
            </w:r>
          </w:p>
        </w:tc>
      </w:tr>
      <w:tr w:rsidR="00957B81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ra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cstheme="minorHAnsi"/>
              </w:rPr>
              <w:t>[</w:t>
            </w:r>
            <w:r>
              <w:rPr>
                <w:rFonts w:ascii="Cambria Math" w:eastAsiaTheme="minorEastAsia" w:hAnsi="Cambria Math" w:cs="Cambria Math"/>
              </w:rPr>
              <w:t>dB.km</w:t>
            </w:r>
            <w:r w:rsidRPr="000F2F91">
              <w:rPr>
                <w:rFonts w:ascii="Cambria Math" w:eastAsiaTheme="minorEastAsia" w:hAnsi="Cambria Math" w:cs="Cambria Math"/>
                <w:vertAlign w:val="superscript"/>
              </w:rPr>
              <w:t>-1</w:t>
            </w:r>
            <w:r>
              <w:rPr>
                <w:rFonts w:ascii="Cambria Math" w:eastAsiaTheme="minorEastAsia" w:hAnsi="Cambria Math" w:cs="Cambria Math"/>
              </w:rPr>
              <w:t>]</w:t>
            </w: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Atténuation spécifique</w:t>
            </w:r>
            <w:r>
              <w:t xml:space="preserve"> de la pluie</w:t>
            </w:r>
          </w:p>
        </w:tc>
      </w:tr>
      <w:tr w:rsidR="00957B81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B81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[%]</w:t>
            </w: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Humidité relative</w:t>
            </w:r>
          </w:p>
        </w:tc>
      </w:tr>
      <w:tr w:rsidR="00957B81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</w:pPr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B81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cl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[dB.km</w:t>
            </w:r>
            <w:r w:rsidRPr="00185B75">
              <w:rPr>
                <w:vertAlign w:val="superscript"/>
              </w:rPr>
              <w:t>-1</w:t>
            </w:r>
            <w:r>
              <w:t>.g</w:t>
            </w:r>
            <w:r w:rsidRPr="000F2F91">
              <w:rPr>
                <w:vertAlign w:val="superscript"/>
              </w:rPr>
              <w:t>-1</w:t>
            </w:r>
            <w:r>
              <w:t>.m</w:t>
            </w:r>
            <w:r w:rsidRPr="00185B75"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961">
              <w:rPr>
                <w:rFonts w:eastAsiaTheme="minorEastAsia" w:cstheme="minorHAnsi"/>
              </w:rPr>
              <w:t xml:space="preserve">coefficient d'atténuation spécifique </w:t>
            </w:r>
            <w:r>
              <w:rPr>
                <w:rFonts w:eastAsiaTheme="minorEastAsia" w:cstheme="minorHAnsi"/>
              </w:rPr>
              <w:t>d</w:t>
            </w:r>
            <w:r w:rsidRPr="00C74961">
              <w:rPr>
                <w:rFonts w:eastAsiaTheme="minorEastAsia" w:cstheme="minorHAnsi"/>
              </w:rPr>
              <w:t>es nuages</w:t>
            </w:r>
          </w:p>
        </w:tc>
      </w:tr>
      <w:tr w:rsidR="00957B81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</w:pPr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B81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λ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[mm]</w:t>
            </w: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Longueur d’onde</w:t>
            </w:r>
          </w:p>
        </w:tc>
      </w:tr>
      <w:tr w:rsidR="00957B81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B81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continuum sec</w:t>
            </w:r>
          </w:p>
        </w:tc>
      </w:tr>
      <w:tr w:rsidR="00957B81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957B81" w:rsidRDefault="00EE0B8D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partie imaginaire d</w:t>
            </w:r>
            <w:r>
              <w:t>e la réfractivité de l’oxygène</w:t>
            </w:r>
          </w:p>
        </w:tc>
      </w:tr>
      <w:tr w:rsidR="00957B81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957B81" w:rsidRDefault="00EE0B8D" w:rsidP="00EE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partie imaginaire de la réfractivité </w:t>
            </w:r>
            <w:r>
              <w:t>de la vapeur</w:t>
            </w:r>
          </w:p>
        </w:tc>
      </w:tr>
      <w:tr w:rsidR="00957B81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957B81" w:rsidRDefault="00EE0B8D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Distribution de taille des particules de variété 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957B81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957B81" w:rsidRDefault="00EE0B8D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Distribution de taille des particule</w:t>
            </w:r>
            <w:r>
              <w:t>s</w:t>
            </w:r>
            <w:r>
              <w:t xml:space="preserve"> de</w:t>
            </w:r>
            <w:r>
              <w:t xml:space="preserve"> pluie</w:t>
            </w:r>
          </w:p>
        </w:tc>
      </w:tr>
      <w:tr w:rsidR="00957B81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B81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57B81" w:rsidRDefault="00EE0B8D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hPa</w:t>
            </w:r>
            <w:proofErr w:type="spellEnd"/>
            <w:r>
              <w:t>]</w:t>
            </w:r>
          </w:p>
        </w:tc>
        <w:tc>
          <w:tcPr>
            <w:tcW w:w="5234" w:type="dxa"/>
            <w:vAlign w:val="center"/>
          </w:tcPr>
          <w:p w:rsidR="00957B81" w:rsidRDefault="00EE0B8D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Pression totale</w:t>
            </w:r>
          </w:p>
        </w:tc>
      </w:tr>
      <w:tr w:rsidR="00957B81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dry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957B81" w:rsidRDefault="00EE0B8D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hPa</w:t>
            </w:r>
            <w:proofErr w:type="spellEnd"/>
            <w:r>
              <w:t>]</w:t>
            </w:r>
          </w:p>
        </w:tc>
        <w:tc>
          <w:tcPr>
            <w:tcW w:w="5234" w:type="dxa"/>
            <w:vAlign w:val="center"/>
          </w:tcPr>
          <w:p w:rsidR="00957B81" w:rsidRDefault="00EE0B8D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Pression de l’air sec</w:t>
            </w:r>
          </w:p>
        </w:tc>
      </w:tr>
      <w:tr w:rsidR="00957B81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wv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957B81" w:rsidRDefault="00EE0B8D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hPa</w:t>
            </w:r>
            <w:proofErr w:type="spellEnd"/>
            <w:r>
              <w:t>]</w:t>
            </w:r>
          </w:p>
        </w:tc>
        <w:tc>
          <w:tcPr>
            <w:tcW w:w="5234" w:type="dxa"/>
            <w:vAlign w:val="center"/>
          </w:tcPr>
          <w:p w:rsidR="00957B81" w:rsidRDefault="00EE0B8D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Pression partielle de la vapeur d’eau</w:t>
            </w:r>
          </w:p>
        </w:tc>
      </w:tr>
      <w:tr w:rsidR="00957B81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B81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957B81" w:rsidRDefault="00EE0B8D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[g.m</w:t>
            </w:r>
            <w:r w:rsidRPr="00EE0B8D">
              <w:rPr>
                <w:vertAlign w:val="superscript"/>
              </w:rPr>
              <w:t>-3</w:t>
            </w:r>
            <w:r>
              <w:t>]</w:t>
            </w:r>
          </w:p>
        </w:tc>
        <w:tc>
          <w:tcPr>
            <w:tcW w:w="5234" w:type="dxa"/>
            <w:vAlign w:val="center"/>
          </w:tcPr>
          <w:p w:rsidR="00957B81" w:rsidRDefault="00EE0B8D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Densité de particules de variété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par unité de volume</w:t>
            </w:r>
          </w:p>
        </w:tc>
      </w:tr>
      <w:tr w:rsidR="00957B81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cl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957B81" w:rsidRDefault="00EE0B8D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[g.m</w:t>
            </w:r>
            <w:r w:rsidRPr="00EE0B8D">
              <w:rPr>
                <w:vertAlign w:val="superscript"/>
              </w:rPr>
              <w:t>-3</w:t>
            </w:r>
            <w:r>
              <w:t>]</w:t>
            </w:r>
          </w:p>
        </w:tc>
        <w:tc>
          <w:tcPr>
            <w:tcW w:w="5234" w:type="dxa"/>
            <w:vAlign w:val="center"/>
          </w:tcPr>
          <w:p w:rsidR="00957B81" w:rsidRDefault="00EE0B8D" w:rsidP="00EE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Densité de particules de </w:t>
            </w:r>
            <w:r>
              <w:t>nuage</w:t>
            </w:r>
            <w:r>
              <w:t xml:space="preserve"> par unité de volume</w:t>
            </w:r>
          </w:p>
        </w:tc>
      </w:tr>
      <w:tr w:rsidR="00957B81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60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957B81" w:rsidRDefault="00957B81" w:rsidP="0095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B81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57B81" w:rsidRDefault="00957B81" w:rsidP="00957B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957B81" w:rsidRDefault="00464345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E">
              <w:rPr>
                <w:rFonts w:eastAsiaTheme="minorEastAsia" w:cstheme="minorHAnsi"/>
              </w:rPr>
              <w:t>[m</w:t>
            </w:r>
            <w:r w:rsidRPr="008372DE">
              <w:rPr>
                <w:rFonts w:eastAsiaTheme="minorEastAsia" w:cstheme="minorHAnsi"/>
                <w:vertAlign w:val="superscript"/>
              </w:rPr>
              <w:t>2</w:t>
            </w:r>
            <w:r w:rsidRPr="008372DE">
              <w:rPr>
                <w:rFonts w:eastAsiaTheme="minorEastAsia" w:cstheme="minorHAnsi"/>
              </w:rPr>
              <w:t>]</w:t>
            </w:r>
          </w:p>
        </w:tc>
        <w:tc>
          <w:tcPr>
            <w:tcW w:w="5234" w:type="dxa"/>
            <w:vAlign w:val="center"/>
          </w:tcPr>
          <w:p w:rsidR="00957B81" w:rsidRDefault="00EE0B8D" w:rsidP="0095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544F6A">
              <w:t>ection efficace d'extinction</w:t>
            </w:r>
            <w:r>
              <w:t xml:space="preserve"> des particules de variété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EE0B8D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EE0B8D" w:rsidRDefault="00EE0B8D" w:rsidP="00EE0B8D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EE0B8D" w:rsidRDefault="00464345" w:rsidP="00EE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E">
              <w:rPr>
                <w:rFonts w:eastAsiaTheme="minorEastAsia" w:cstheme="minorHAnsi"/>
              </w:rPr>
              <w:t>[m</w:t>
            </w:r>
            <w:r w:rsidRPr="008372DE">
              <w:rPr>
                <w:rFonts w:eastAsiaTheme="minorEastAsia" w:cstheme="minorHAnsi"/>
                <w:vertAlign w:val="superscript"/>
              </w:rPr>
              <w:t>2</w:t>
            </w:r>
            <w:r w:rsidRPr="008372DE">
              <w:rPr>
                <w:rFonts w:eastAsiaTheme="minorEastAsia" w:cstheme="minorHAnsi"/>
              </w:rPr>
              <w:t>]</w:t>
            </w:r>
            <w:bookmarkStart w:id="0" w:name="_GoBack"/>
            <w:bookmarkEnd w:id="0"/>
          </w:p>
        </w:tc>
        <w:tc>
          <w:tcPr>
            <w:tcW w:w="5234" w:type="dxa"/>
            <w:vAlign w:val="center"/>
          </w:tcPr>
          <w:p w:rsidR="00EE0B8D" w:rsidRDefault="00EE0B8D" w:rsidP="00EE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544F6A">
              <w:t>ection efficace d'extinction</w:t>
            </w:r>
            <w:r>
              <w:t xml:space="preserve"> des particules de pluie</w:t>
            </w:r>
          </w:p>
        </w:tc>
      </w:tr>
      <w:tr w:rsidR="00EE0B8D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EE0B8D" w:rsidRDefault="00EE0B8D" w:rsidP="00EE0B8D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60" w:type="dxa"/>
            <w:vAlign w:val="center"/>
          </w:tcPr>
          <w:p w:rsidR="00EE0B8D" w:rsidRDefault="00EE0B8D" w:rsidP="00EE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EE0B8D" w:rsidRDefault="00EE0B8D" w:rsidP="00EE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B8D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EE0B8D" w:rsidRDefault="00EE0B8D" w:rsidP="00EE0B8D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E0B8D" w:rsidRDefault="00EE0B8D" w:rsidP="00EE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[K]</w:t>
            </w:r>
          </w:p>
        </w:tc>
        <w:tc>
          <w:tcPr>
            <w:tcW w:w="5234" w:type="dxa"/>
            <w:vAlign w:val="center"/>
          </w:tcPr>
          <w:p w:rsidR="00EE0B8D" w:rsidRDefault="00EE0B8D" w:rsidP="00EE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Température</w:t>
            </w:r>
          </w:p>
        </w:tc>
      </w:tr>
      <w:tr w:rsidR="00EE0B8D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EE0B8D" w:rsidRDefault="00EE0B8D" w:rsidP="00EE0B8D">
            <w:pPr>
              <w:jc w:val="center"/>
            </w:pPr>
          </w:p>
        </w:tc>
        <w:tc>
          <w:tcPr>
            <w:tcW w:w="1560" w:type="dxa"/>
            <w:vAlign w:val="center"/>
          </w:tcPr>
          <w:p w:rsidR="00EE0B8D" w:rsidRDefault="00EE0B8D" w:rsidP="00EE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EE0B8D" w:rsidRDefault="00EE0B8D" w:rsidP="00EE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B8D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EE0B8D" w:rsidRDefault="00EE0B8D" w:rsidP="00EE0B8D">
            <w:pPr>
              <w:jc w:val="center"/>
            </w:pPr>
          </w:p>
        </w:tc>
        <w:tc>
          <w:tcPr>
            <w:tcW w:w="1560" w:type="dxa"/>
            <w:vAlign w:val="center"/>
          </w:tcPr>
          <w:p w:rsidR="00EE0B8D" w:rsidRDefault="00EE0B8D" w:rsidP="00EE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EE0B8D" w:rsidRDefault="00EE0B8D" w:rsidP="00EE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B8D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EE0B8D" w:rsidRDefault="00EE0B8D" w:rsidP="00EE0B8D">
            <w:pPr>
              <w:jc w:val="center"/>
            </w:pPr>
          </w:p>
        </w:tc>
        <w:tc>
          <w:tcPr>
            <w:tcW w:w="1560" w:type="dxa"/>
            <w:vAlign w:val="center"/>
          </w:tcPr>
          <w:p w:rsidR="00EE0B8D" w:rsidRDefault="00EE0B8D" w:rsidP="00EE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EE0B8D" w:rsidRDefault="00EE0B8D" w:rsidP="00EE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B8D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EE0B8D" w:rsidRDefault="00EE0B8D" w:rsidP="00EE0B8D">
            <w:pPr>
              <w:jc w:val="center"/>
            </w:pPr>
          </w:p>
        </w:tc>
        <w:tc>
          <w:tcPr>
            <w:tcW w:w="1560" w:type="dxa"/>
            <w:vAlign w:val="center"/>
          </w:tcPr>
          <w:p w:rsidR="00EE0B8D" w:rsidRDefault="00EE0B8D" w:rsidP="00EE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EE0B8D" w:rsidRDefault="00EE0B8D" w:rsidP="00EE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B8D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EE0B8D" w:rsidRDefault="00EE0B8D" w:rsidP="00EE0B8D">
            <w:pPr>
              <w:jc w:val="center"/>
            </w:pPr>
          </w:p>
        </w:tc>
        <w:tc>
          <w:tcPr>
            <w:tcW w:w="1560" w:type="dxa"/>
            <w:vAlign w:val="center"/>
          </w:tcPr>
          <w:p w:rsidR="00EE0B8D" w:rsidRDefault="00EE0B8D" w:rsidP="00EE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EE0B8D" w:rsidRDefault="00EE0B8D" w:rsidP="00EE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B8D" w:rsidTr="00EE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EE0B8D" w:rsidRDefault="00EE0B8D" w:rsidP="00EE0B8D">
            <w:pPr>
              <w:jc w:val="center"/>
            </w:pPr>
          </w:p>
        </w:tc>
        <w:tc>
          <w:tcPr>
            <w:tcW w:w="1560" w:type="dxa"/>
            <w:vAlign w:val="center"/>
          </w:tcPr>
          <w:p w:rsidR="00EE0B8D" w:rsidRDefault="00EE0B8D" w:rsidP="00EE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EE0B8D" w:rsidRDefault="00EE0B8D" w:rsidP="00EE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B8D" w:rsidTr="00EE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EE0B8D" w:rsidRDefault="00EE0B8D" w:rsidP="00EE0B8D">
            <w:pPr>
              <w:jc w:val="center"/>
            </w:pPr>
          </w:p>
        </w:tc>
        <w:tc>
          <w:tcPr>
            <w:tcW w:w="1560" w:type="dxa"/>
            <w:vAlign w:val="center"/>
          </w:tcPr>
          <w:p w:rsidR="00EE0B8D" w:rsidRDefault="00EE0B8D" w:rsidP="00EE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4" w:type="dxa"/>
            <w:vAlign w:val="center"/>
          </w:tcPr>
          <w:p w:rsidR="00EE0B8D" w:rsidRDefault="00EE0B8D" w:rsidP="00EE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2D6E" w:rsidRDefault="000E2D6E"/>
    <w:sectPr w:rsidR="000E2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79"/>
    <w:rsid w:val="000E2D6E"/>
    <w:rsid w:val="00113303"/>
    <w:rsid w:val="00113C79"/>
    <w:rsid w:val="00464345"/>
    <w:rsid w:val="00957B81"/>
    <w:rsid w:val="009B1FA8"/>
    <w:rsid w:val="00EA7D7F"/>
    <w:rsid w:val="00EE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D1FB"/>
  <w15:chartTrackingRefBased/>
  <w15:docId w15:val="{D24BF97B-7E72-48C7-8266-0B83CF80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1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113C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6Couleur">
    <w:name w:val="List Table 6 Colorful"/>
    <w:basedOn w:val="TableauNormal"/>
    <w:uiPriority w:val="51"/>
    <w:rsid w:val="00113C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42"/>
    <w:rsid w:val="00113C7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957B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Onera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Frison</dc:creator>
  <cp:keywords/>
  <dc:description/>
  <cp:lastModifiedBy>Luc Frison</cp:lastModifiedBy>
  <cp:revision>5</cp:revision>
  <dcterms:created xsi:type="dcterms:W3CDTF">2023-09-18T08:55:00Z</dcterms:created>
  <dcterms:modified xsi:type="dcterms:W3CDTF">2023-09-18T13:56:00Z</dcterms:modified>
</cp:coreProperties>
</file>