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F6D6B" w14:textId="642D07E3" w:rsidR="00D53F6D" w:rsidRDefault="00D53F6D" w:rsidP="00D53F6D">
      <w:pPr>
        <w:pStyle w:val="Titre"/>
        <w:jc w:val="both"/>
        <w:rPr>
          <w:u w:val="single"/>
        </w:rPr>
      </w:pPr>
      <w:r w:rsidRPr="00362405">
        <w:rPr>
          <w:u w:val="single"/>
        </w:rPr>
        <w:t xml:space="preserve">CHAPITRE 1 : CARCTERISATION DU CANAL DE PROPAGATION RADIAELECTRIQUE EN REGION </w:t>
      </w:r>
      <w:r w:rsidR="009A0929">
        <w:rPr>
          <w:u w:val="single"/>
        </w:rPr>
        <w:t>HAUTES LATITUDES</w:t>
      </w:r>
    </w:p>
    <w:p w14:paraId="05357BA4" w14:textId="77777777" w:rsidR="00D53F6D" w:rsidRDefault="00D53F6D" w:rsidP="00D53F6D">
      <w:pPr>
        <w:jc w:val="both"/>
      </w:pPr>
    </w:p>
    <w:p w14:paraId="6FD4E6EA" w14:textId="1E9E624F" w:rsidR="00D53F6D" w:rsidRDefault="00D53F6D" w:rsidP="00D53F6D">
      <w:pPr>
        <w:jc w:val="both"/>
      </w:pPr>
      <w:r w:rsidRPr="00362405">
        <w:t xml:space="preserve">Le but de ce premier chapitre est d'introduire et de caractériser la propagation des ondes radio dans les régions </w:t>
      </w:r>
      <w:r w:rsidR="009A0929">
        <w:t>hautes latitudes</w:t>
      </w:r>
      <w:r w:rsidRPr="00362405">
        <w:t xml:space="preserve">. Après avoir succinctement rappelé plusieurs notions relatives à la troposphère, nous décrivons les climats présents dans les régions </w:t>
      </w:r>
      <w:r w:rsidR="009A0929">
        <w:t>hautes latitudes</w:t>
      </w:r>
      <w:r w:rsidRPr="00362405">
        <w:t xml:space="preserve">, en mettant en évidence leur impact sur la propagation des ondes radio. Plus spécifiquement, nous soulignons les particularités du climat polaire qui influencent </w:t>
      </w:r>
      <w:r>
        <w:t xml:space="preserve">sur </w:t>
      </w:r>
      <w:r w:rsidRPr="00362405">
        <w:t>la propagation des ondes radio, telles que les température</w:t>
      </w:r>
      <w:r>
        <w:t>s très faibles</w:t>
      </w:r>
      <w:r w:rsidRPr="00362405">
        <w:t>,</w:t>
      </w:r>
      <w:r>
        <w:t xml:space="preserve"> ou</w:t>
      </w:r>
      <w:r w:rsidRPr="00362405">
        <w:t xml:space="preserve"> que les caractéristiques de la vapeur d'eau, des nuages et des précipitations</w:t>
      </w:r>
      <w:r>
        <w:t xml:space="preserve"> propres à ces régions</w:t>
      </w:r>
      <w:r w:rsidRPr="00362405">
        <w:t xml:space="preserve">. Ensuite, nous examinons les modèles d'atténuation troposphérique existants </w:t>
      </w:r>
      <w:r>
        <w:t xml:space="preserve">qu’ils soient </w:t>
      </w:r>
      <w:r w:rsidRPr="00362405">
        <w:t xml:space="preserve">dus aux gaz atmosphériques, aux nuages </w:t>
      </w:r>
      <w:r>
        <w:t>ou</w:t>
      </w:r>
      <w:r w:rsidRPr="00362405">
        <w:t xml:space="preserve"> aux </w:t>
      </w:r>
      <w:r>
        <w:t>hydrométéores susceptibles d’être présents</w:t>
      </w:r>
      <w:r w:rsidRPr="00362405">
        <w:t xml:space="preserve"> dans les </w:t>
      </w:r>
      <w:r>
        <w:t xml:space="preserve">zones avec une </w:t>
      </w:r>
      <w:r w:rsidRPr="00362405">
        <w:t>climat</w:t>
      </w:r>
      <w:r>
        <w:t>ologie</w:t>
      </w:r>
      <w:r w:rsidRPr="00362405">
        <w:t xml:space="preserve"> polaire, ainsi que leurs limites. Enfin, nous décrivons les différents types de données utilisés pour caractériser le canal de propagation et valider les modèles de propagation dans les régions </w:t>
      </w:r>
      <w:r w:rsidR="009A0929">
        <w:t>hautes latitudes</w:t>
      </w:r>
      <w:r>
        <w:t xml:space="preserve"> utilisées dans ce travail</w:t>
      </w:r>
      <w:r w:rsidRPr="00362405">
        <w:t>.</w:t>
      </w:r>
    </w:p>
    <w:p w14:paraId="55ABA2E1" w14:textId="77777777" w:rsidR="00D53F6D" w:rsidRDefault="00D53F6D" w:rsidP="00D53F6D"/>
    <w:p w14:paraId="349485F4" w14:textId="77777777" w:rsidR="0084310C" w:rsidRDefault="00744A50" w:rsidP="00D53F6D">
      <w:pPr>
        <w:pStyle w:val="Titre1"/>
        <w:numPr>
          <w:ilvl w:val="0"/>
          <w:numId w:val="1"/>
        </w:numPr>
      </w:pPr>
      <w:r>
        <w:t>La troposphère</w:t>
      </w:r>
      <w:r w:rsidR="008D13ED">
        <w:t xml:space="preserve"> terrestre</w:t>
      </w:r>
      <w:r w:rsidR="00D53F6D">
        <w:t xml:space="preserve"> et son impact sur la propagation des ondes électromagnétiques</w:t>
      </w:r>
    </w:p>
    <w:p w14:paraId="40E3B0EA" w14:textId="77777777" w:rsidR="00D53F6D" w:rsidRDefault="00D53F6D" w:rsidP="00D53F6D"/>
    <w:p w14:paraId="7A06E196" w14:textId="77777777" w:rsidR="00D53F6D" w:rsidRPr="00D53F6D" w:rsidRDefault="00D53F6D" w:rsidP="00D53F6D">
      <w:pPr>
        <w:jc w:val="both"/>
      </w:pPr>
      <w:r>
        <w:t xml:space="preserve">La couche de gaz qui entoure la planète terre est appelée l’atmosphère terrestre. Il est assez difficile de déterminer son épaisseur puisque celle-ci n’est pas constante </w:t>
      </w:r>
      <w:r w:rsidR="00216BF1">
        <w:t>sur l’entièreté du globe.</w:t>
      </w:r>
      <w:r w:rsidR="008E5F22">
        <w:t xml:space="preserve"> La troposphère est le nom de la couche la plus proche de la surface terrestre de l’atmosphère. Elle est la région la plus riche en phénomènes météorologiques et pour cette raison l’une des plus impactante sur les conditions de propagations des ondes électromagnétiques permettant les communications terre-satellites. </w:t>
      </w:r>
      <w:r w:rsidR="008E5F22">
        <w:br/>
        <w:t xml:space="preserve">Dans la section 1.1, nous plongerons dans une analyse détaillée des caractéristiques et de la structure de la troposphère. Celle-ci permettra de comprendre les </w:t>
      </w:r>
      <w:r w:rsidR="005A1F37">
        <w:t>subtilités</w:t>
      </w:r>
      <w:r w:rsidR="008E5F22">
        <w:t xml:space="preserve"> de cette région atmosphérique</w:t>
      </w:r>
      <w:r w:rsidR="005A1F37">
        <w:t>, y compris ses variations de pression, de température et d’humidité. Dans la section 1.2, nous nous pencherons sur l’impact de la troposphère sur la propagation des ondes électromagnétiques. Nous mettrons ainsi en avant les principaux contributeurs troposphériques de l’atténuation des signaux de communications et nous examin</w:t>
      </w:r>
      <w:r w:rsidR="00640689">
        <w:t>erons les phénomènes tels que l’atténuation</w:t>
      </w:r>
      <w:r w:rsidR="005A1F37">
        <w:t xml:space="preserve">, la </w:t>
      </w:r>
      <w:r w:rsidR="00640689">
        <w:t>scintillation</w:t>
      </w:r>
      <w:r w:rsidR="005A1F37">
        <w:t xml:space="preserve"> et </w:t>
      </w:r>
      <w:r w:rsidR="00640689">
        <w:t>la dépolarisation</w:t>
      </w:r>
      <w:r w:rsidR="005A1F37">
        <w:t xml:space="preserve"> des ondes électromagnétiques.</w:t>
      </w:r>
    </w:p>
    <w:p w14:paraId="75093CDD" w14:textId="77777777" w:rsidR="006505E6" w:rsidRDefault="006505E6" w:rsidP="005A1F37">
      <w:pPr>
        <w:jc w:val="both"/>
      </w:pPr>
    </w:p>
    <w:p w14:paraId="7E70D069" w14:textId="77777777" w:rsidR="00744A50" w:rsidRDefault="006505E6" w:rsidP="00744A50">
      <w:pPr>
        <w:pStyle w:val="Titre2"/>
        <w:numPr>
          <w:ilvl w:val="1"/>
          <w:numId w:val="1"/>
        </w:numPr>
      </w:pPr>
      <w:r>
        <w:t>Descriptions et caractéristiques de la</w:t>
      </w:r>
      <w:r w:rsidR="00744A50">
        <w:t xml:space="preserve"> troposphère </w:t>
      </w:r>
    </w:p>
    <w:p w14:paraId="48F83C2A" w14:textId="77777777" w:rsidR="005A1F37" w:rsidRDefault="005A1F37" w:rsidP="005A1F37"/>
    <w:p w14:paraId="7628E003" w14:textId="77777777" w:rsidR="008C5E90" w:rsidRDefault="008C5E90" w:rsidP="008C5E90">
      <w:pPr>
        <w:jc w:val="both"/>
      </w:pPr>
      <w:r>
        <w:t>La troposphère est la couche la plus basse de l'atmosphère terrestre, s'étendant d'environ 8 à 15 kilomètres au-dessus de la surface de la Terre. Elle est la région de l’atmosphère où se déroulent la plupart de nos phénomènes météorologiques. Cette couche joue un rôle crucial dans la régulation du climat et est le foyer des nuages, des pluies, des tempêtes et des vents.</w:t>
      </w:r>
    </w:p>
    <w:p w14:paraId="1926BB3E" w14:textId="77777777" w:rsidR="008C5E90" w:rsidRDefault="008C5E90" w:rsidP="008C5E90">
      <w:pPr>
        <w:jc w:val="both"/>
      </w:pPr>
      <w:r>
        <w:lastRenderedPageBreak/>
        <w:t>L'une des caractéristiques fondamentales de la troposphère est le gradient de température décroissant avec l'altitude. En moyenne, la température diminue d'environ 6,5°C par kilomètre en montant dans l'atmosphère. Ce gradient de température donne lieu à des mouvements verticaux d'air, créant ainsi des systèmes de haute et de basse pression. Ces différences de pression atmosphérique entraînent la formation de vents qui balayent la surface de la Terre, apportant avec eux des changements de temps et des phénomènes météorologiques variés.</w:t>
      </w:r>
    </w:p>
    <w:p w14:paraId="7DE9FF94" w14:textId="77777777" w:rsidR="008C5E90" w:rsidRDefault="008C5E90" w:rsidP="008C5E90">
      <w:pPr>
        <w:jc w:val="both"/>
      </w:pPr>
      <w:r>
        <w:t>L'humidité de l'air dans la troposphère est en constante évolution. L'air chaud peut contenir plus d'humidité que l'air froid. Lorsque l'air chaud et humide monte dans l'atmosphère, il se refroidit en rencontrant des altitudes plus élevées. Cela peut conduire à la condensation de la vapeur d'eau et à la formation de nuages et de précipitations, tels que la pluie, la neige ou d’autres types d’hydrométéores, selon les conditions thermiques de l'atmosphère.</w:t>
      </w:r>
    </w:p>
    <w:p w14:paraId="14FECA9A" w14:textId="77777777" w:rsidR="008C5E90" w:rsidRDefault="008C5E90" w:rsidP="008C5E90">
      <w:pPr>
        <w:jc w:val="both"/>
      </w:pPr>
      <w:r>
        <w:t>Au-dessus de la troposphère se trouvent la stratosphère, la mésosphère et la thermosphère. Bien que la plupart des phénomènes météorologiques se produisent dans la troposphère, ces couches supérieures jouent également un rôle essentiel dans la météo de notre planète. Par exemple, la stratosphère abrite la couche d'ozone, qui absorbe une grande partie du rayonnement ultraviolet du soleil, protégeant ainsi la vie sur Terre des effets nocifs de ce rayonnement.</w:t>
      </w:r>
    </w:p>
    <w:p w14:paraId="0DAF36E9" w14:textId="77777777" w:rsidR="00A37C3D" w:rsidRDefault="009A48A7" w:rsidP="008C5E90">
      <w:pPr>
        <w:jc w:val="both"/>
      </w:pPr>
      <w:r>
        <w:rPr>
          <w:noProof/>
          <w:lang w:val="en-US"/>
        </w:rPr>
        <mc:AlternateContent>
          <mc:Choice Requires="wps">
            <w:drawing>
              <wp:anchor distT="0" distB="0" distL="114300" distR="114300" simplePos="0" relativeHeight="251660288" behindDoc="0" locked="0" layoutInCell="1" allowOverlap="1" wp14:anchorId="0FF19A2F" wp14:editId="42B4AB74">
                <wp:simplePos x="0" y="0"/>
                <wp:positionH relativeFrom="column">
                  <wp:posOffset>0</wp:posOffset>
                </wp:positionH>
                <wp:positionV relativeFrom="paragraph">
                  <wp:posOffset>5274310</wp:posOffset>
                </wp:positionV>
                <wp:extent cx="5760720" cy="635"/>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4ECE45" w14:textId="49568C82" w:rsidR="00FC7555" w:rsidRPr="00AA3100" w:rsidRDefault="00FC7555" w:rsidP="00A37C3D">
                            <w:pPr>
                              <w:pStyle w:val="Lgende"/>
                              <w:jc w:val="center"/>
                              <w:rPr>
                                <w:noProof/>
                              </w:rPr>
                            </w:pPr>
                            <w:r>
                              <w:t xml:space="preserve">Figure </w:t>
                            </w:r>
                            <w:r w:rsidR="006916B9">
                              <w:fldChar w:fldCharType="begin"/>
                            </w:r>
                            <w:r w:rsidR="006916B9">
                              <w:instrText xml:space="preserve"> ST</w:instrText>
                            </w:r>
                            <w:r w:rsidR="006916B9">
                              <w:instrText xml:space="preserve">YLEREF 1 \s </w:instrText>
                            </w:r>
                            <w:r w:rsidR="006916B9">
                              <w:fldChar w:fldCharType="separate"/>
                            </w:r>
                            <w:r>
                              <w:rPr>
                                <w:noProof/>
                              </w:rPr>
                              <w:t>1</w:t>
                            </w:r>
                            <w:r w:rsidR="006916B9">
                              <w:rPr>
                                <w:noProof/>
                              </w:rPr>
                              <w:fldChar w:fldCharType="end"/>
                            </w:r>
                            <w:r>
                              <w:t>.</w:t>
                            </w:r>
                            <w:r w:rsidR="006916B9">
                              <w:fldChar w:fldCharType="begin"/>
                            </w:r>
                            <w:r w:rsidR="006916B9">
                              <w:instrText xml:space="preserve"> SEQ Figure \* ARABIC \s 1 </w:instrText>
                            </w:r>
                            <w:r w:rsidR="006916B9">
                              <w:fldChar w:fldCharType="separate"/>
                            </w:r>
                            <w:r>
                              <w:rPr>
                                <w:noProof/>
                              </w:rPr>
                              <w:t>1</w:t>
                            </w:r>
                            <w:r w:rsidR="006916B9">
                              <w:rPr>
                                <w:noProof/>
                              </w:rPr>
                              <w:fldChar w:fldCharType="end"/>
                            </w:r>
                            <w:r>
                              <w:t xml:space="preserve"> – Schéma de couches verticales de l’atmosphère, profil de température et ordre de grandeur de la 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F19A2F" id="_x0000_t202" coordsize="21600,21600" o:spt="202" path="m,l,21600r21600,l21600,xe">
                <v:stroke joinstyle="miter"/>
                <v:path gradientshapeok="t" o:connecttype="rect"/>
              </v:shapetype>
              <v:shape id="Zone de texte 2" o:spid="_x0000_s1026" type="#_x0000_t202" style="position:absolute;left:0;text-align:left;margin-left:0;margin-top:415.3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" stroked="f">
                <v:textbox style="mso-fit-shape-to-text:t" inset="0,0,0,0">
                  <w:txbxContent>
                    <w:p w14:paraId="694ECE45" w14:textId="49568C82" w:rsidR="00FC7555" w:rsidRPr="00AA3100" w:rsidRDefault="00FC7555" w:rsidP="00A37C3D">
                      <w:pPr>
                        <w:pStyle w:val="Lgende"/>
                        <w:jc w:val="center"/>
                        <w:rPr>
                          <w:noProof/>
                        </w:rPr>
                      </w:pPr>
                      <w:r>
                        <w:t xml:space="preserve">Figure </w:t>
                      </w:r>
                      <w:fldSimple w:instr=" STYLEREF 1 \s ">
                        <w:r>
                          <w:rPr>
                            <w:noProof/>
                          </w:rPr>
                          <w:t>1</w:t>
                        </w:r>
                      </w:fldSimple>
                      <w:r>
                        <w:t>.</w:t>
                      </w:r>
                      <w:fldSimple w:instr=" SEQ Figure \* ARABIC \s 1 ">
                        <w:r>
                          <w:rPr>
                            <w:noProof/>
                          </w:rPr>
                          <w:t>1</w:t>
                        </w:r>
                      </w:fldSimple>
                      <w:r>
                        <w:t xml:space="preserve"> – Schéma de couches verticales de l’atmosphère, profil de température et ordre de grandeur de la pression</w:t>
                      </w:r>
                    </w:p>
                  </w:txbxContent>
                </v:textbox>
                <w10:wrap type="topAndBottom"/>
              </v:shape>
            </w:pict>
          </mc:Fallback>
        </mc:AlternateContent>
      </w:r>
      <w:r>
        <w:rPr>
          <w:noProof/>
          <w:lang w:val="en-US"/>
        </w:rPr>
        <w:drawing>
          <wp:anchor distT="0" distB="0" distL="114300" distR="114300" simplePos="0" relativeHeight="251658240" behindDoc="0" locked="0" layoutInCell="1" allowOverlap="1" wp14:anchorId="1656B7B0" wp14:editId="17D1A173">
            <wp:simplePos x="0" y="0"/>
            <wp:positionH relativeFrom="margin">
              <wp:align>right</wp:align>
            </wp:positionH>
            <wp:positionV relativeFrom="paragraph">
              <wp:posOffset>1191260</wp:posOffset>
            </wp:positionV>
            <wp:extent cx="5760720" cy="40259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4025900"/>
                    </a:xfrm>
                    <a:prstGeom prst="rect">
                      <a:avLst/>
                    </a:prstGeom>
                  </pic:spPr>
                </pic:pic>
              </a:graphicData>
            </a:graphic>
          </wp:anchor>
        </w:drawing>
      </w:r>
      <w:r w:rsidR="008C5E90">
        <w:t>Les interactions entre les différentes couches de l'atmosphère sont complexes et influent sur notre climat global. Les éruptions volcaniques, par exemple, peuvent injecter des particules dans la stratosphère, entraînant un refroidissement temporaire de la planète en bloquant une partie de la lumière solaire. De même, les activités humaines, telles que les émissions de gaz à effet de serre, peuvent altérer l'équilibre délicat de notre atmosphère, entraînant des changements climatiques à l'échelle mondiale.</w:t>
      </w:r>
    </w:p>
    <w:p w14:paraId="15DA4EA1" w14:textId="77777777" w:rsidR="005A1F37" w:rsidRDefault="008C5E90" w:rsidP="008C5E90">
      <w:pPr>
        <w:jc w:val="both"/>
      </w:pPr>
      <w:r>
        <w:lastRenderedPageBreak/>
        <w:t>Toutes les caractéristiques qui définissent la troposphère font autant de contributeur à la dégradation des conditions de propagations des ondes électromagnétiques à travers celle-ci. Ces divers contributeurs et leurs impacts sont étudiés dans la section suivante.</w:t>
      </w:r>
    </w:p>
    <w:p w14:paraId="730742FD" w14:textId="77777777" w:rsidR="005A1F37" w:rsidRPr="005A1F37" w:rsidRDefault="005A1F37" w:rsidP="005A1F37"/>
    <w:p w14:paraId="78A1CF34" w14:textId="77777777" w:rsidR="006505E6" w:rsidRDefault="006505E6" w:rsidP="006505E6">
      <w:pPr>
        <w:pStyle w:val="Titre2"/>
        <w:numPr>
          <w:ilvl w:val="1"/>
          <w:numId w:val="1"/>
        </w:numPr>
      </w:pPr>
      <w:r>
        <w:t xml:space="preserve">Impact de la troposphère sur la propagation des ondes </w:t>
      </w:r>
    </w:p>
    <w:p w14:paraId="72970249" w14:textId="77777777" w:rsidR="006505E6" w:rsidRDefault="006505E6" w:rsidP="006505E6"/>
    <w:p w14:paraId="263FA93A" w14:textId="77777777" w:rsidR="00934CFB" w:rsidRDefault="00934CFB" w:rsidP="00934CFB">
      <w:pPr>
        <w:jc w:val="both"/>
      </w:pPr>
      <w:r w:rsidRPr="00934CFB">
        <w:t>La troposphère entraîne des altérations significatives dans la transmission des signaux entre la Terre et les satellites, surtout pour les fréquences supérieures à 5 GHz. Pour les fréquences situées entre 1 GHz et 1 000 GHz, ces perturbations troposphériques peuvent être regroupées en quatre principales catégories : l'atténuat</w:t>
      </w:r>
      <w:r w:rsidR="00DB66B9">
        <w:t>ion (décrite dans la section 1.2.1</w:t>
      </w:r>
      <w:r w:rsidRPr="00934CFB">
        <w:t>), la scintillation (abordée dans la section 1.2</w:t>
      </w:r>
      <w:r w:rsidR="00DB66B9">
        <w:t>.2) et</w:t>
      </w:r>
      <w:r w:rsidRPr="00934CFB">
        <w:t xml:space="preserve"> la dépolarisation (expliquée dans la section 1.</w:t>
      </w:r>
      <w:r w:rsidR="00DB66B9">
        <w:t>2.</w:t>
      </w:r>
      <w:r w:rsidRPr="00934CFB">
        <w:t>3).</w:t>
      </w:r>
    </w:p>
    <w:p w14:paraId="734BCF8A" w14:textId="77777777" w:rsidR="006505E6" w:rsidRDefault="00934CFB" w:rsidP="00DB66B9">
      <w:pPr>
        <w:pStyle w:val="Titre3"/>
      </w:pPr>
      <w:r>
        <w:t xml:space="preserve"> </w:t>
      </w:r>
    </w:p>
    <w:p w14:paraId="3E65C730" w14:textId="77777777" w:rsidR="00DB66B9" w:rsidRDefault="00DB66B9" w:rsidP="00DB66B9">
      <w:pPr>
        <w:pStyle w:val="Titre3"/>
        <w:numPr>
          <w:ilvl w:val="2"/>
          <w:numId w:val="1"/>
        </w:numPr>
      </w:pPr>
      <w:r>
        <w:t>L’atténuation</w:t>
      </w:r>
    </w:p>
    <w:p w14:paraId="61973F32" w14:textId="77777777" w:rsidR="00DB66B9" w:rsidRDefault="00DB66B9" w:rsidP="00DB66B9"/>
    <w:p w14:paraId="02605B4D" w14:textId="77777777" w:rsidR="00DB66B9" w:rsidRDefault="00DB66B9" w:rsidP="00DB66B9">
      <w:pPr>
        <w:jc w:val="both"/>
      </w:pPr>
      <w:r>
        <w:rPr>
          <w:noProof/>
          <w:lang w:val="en-US"/>
        </w:rPr>
        <mc:AlternateContent>
          <mc:Choice Requires="wps">
            <w:drawing>
              <wp:anchor distT="0" distB="0" distL="114300" distR="114300" simplePos="0" relativeHeight="251664384" behindDoc="0" locked="0" layoutInCell="1" allowOverlap="1" wp14:anchorId="0D948892" wp14:editId="1647F7B9">
                <wp:simplePos x="0" y="0"/>
                <wp:positionH relativeFrom="column">
                  <wp:posOffset>857885</wp:posOffset>
                </wp:positionH>
                <wp:positionV relativeFrom="paragraph">
                  <wp:posOffset>3915410</wp:posOffset>
                </wp:positionV>
                <wp:extent cx="4045585"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14:paraId="77CDA91B" w14:textId="504D9E6D" w:rsidR="00FC7555" w:rsidRPr="00C911DA" w:rsidRDefault="00FC7555" w:rsidP="00DB66B9">
                            <w:pPr>
                              <w:pStyle w:val="Lgende"/>
                              <w:jc w:val="center"/>
                              <w:rPr>
                                <w:noProof/>
                              </w:rPr>
                            </w:pPr>
                            <w:r>
                              <w:t xml:space="preserve">Figure </w:t>
                            </w:r>
                            <w:r w:rsidR="006916B9">
                              <w:fldChar w:fldCharType="begin"/>
                            </w:r>
                            <w:r w:rsidR="006916B9">
                              <w:instrText xml:space="preserve"> STYLEREF 1 \s </w:instrText>
                            </w:r>
                            <w:r w:rsidR="006916B9">
                              <w:fldChar w:fldCharType="separate"/>
                            </w:r>
                            <w:r>
                              <w:rPr>
                                <w:noProof/>
                              </w:rPr>
                              <w:t>1</w:t>
                            </w:r>
                            <w:r w:rsidR="006916B9">
                              <w:rPr>
                                <w:noProof/>
                              </w:rPr>
                              <w:fldChar w:fldCharType="end"/>
                            </w:r>
                            <w:r>
                              <w:t>.</w:t>
                            </w:r>
                            <w:r w:rsidR="006916B9">
                              <w:fldChar w:fldCharType="begin"/>
                            </w:r>
                            <w:r w:rsidR="006916B9">
                              <w:instrText xml:space="preserve"> SEQ Figure \* ARABIC</w:instrText>
                            </w:r>
                            <w:r w:rsidR="006916B9">
                              <w:instrText xml:space="preserve"> \s 1 </w:instrText>
                            </w:r>
                            <w:r w:rsidR="006916B9">
                              <w:fldChar w:fldCharType="separate"/>
                            </w:r>
                            <w:r>
                              <w:rPr>
                                <w:noProof/>
                              </w:rPr>
                              <w:t>2</w:t>
                            </w:r>
                            <w:r w:rsidR="006916B9">
                              <w:rPr>
                                <w:noProof/>
                              </w:rPr>
                              <w:fldChar w:fldCharType="end"/>
                            </w:r>
                            <w:r w:rsidRPr="00DB66B9">
                              <w:t xml:space="preserve"> </w:t>
                            </w:r>
                            <w:r>
                              <w:t>- Atténuation spécifique due aux gaz atmosphériques, aux nuages et à la pluie pour fréquences allant de 1 à 100 GHz. (V. Le Mire,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48892" id="Zone de texte 3" o:spid="_x0000_s1027" type="#_x0000_t202" style="position:absolute;left:0;text-align:left;margin-left:67.55pt;margin-top:308.3pt;width:318.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" stroked="f">
                <v:textbox style="mso-fit-shape-to-text:t" inset="0,0,0,0">
                  <w:txbxContent>
                    <w:p w14:paraId="77CDA91B" w14:textId="504D9E6D" w:rsidR="00FC7555" w:rsidRPr="00C911DA" w:rsidRDefault="00FC7555" w:rsidP="00DB66B9">
                      <w:pPr>
                        <w:pStyle w:val="Lgende"/>
                        <w:jc w:val="center"/>
                        <w:rPr>
                          <w:noProof/>
                        </w:rPr>
                      </w:pPr>
                      <w:r>
                        <w:t xml:space="preserve">Figure </w:t>
                      </w:r>
                      <w:fldSimple w:instr=" STYLEREF 1 \s ">
                        <w:r>
                          <w:rPr>
                            <w:noProof/>
                          </w:rPr>
                          <w:t>1</w:t>
                        </w:r>
                      </w:fldSimple>
                      <w:r>
                        <w:t>.</w:t>
                      </w:r>
                      <w:fldSimple w:instr=" SEQ Figure \* ARABIC \s 1 ">
                        <w:r>
                          <w:rPr>
                            <w:noProof/>
                          </w:rPr>
                          <w:t>2</w:t>
                        </w:r>
                      </w:fldSimple>
                      <w:r w:rsidRPr="00DB66B9">
                        <w:t xml:space="preserve"> </w:t>
                      </w:r>
                      <w:r>
                        <w:t>- Atténuation spécifique due aux gaz atmosphériques, aux nuages et à la pluie pour fréquences allant de 1 à 100 GHz. (V. Le Mire, 2021)</w:t>
                      </w:r>
                    </w:p>
                  </w:txbxContent>
                </v:textbox>
                <w10:wrap type="topAndBottom"/>
              </v:shape>
            </w:pict>
          </mc:Fallback>
        </mc:AlternateContent>
      </w:r>
      <w:r w:rsidRPr="00D20DCD">
        <w:rPr>
          <w:noProof/>
          <w:lang w:val="en-US"/>
        </w:rPr>
        <w:drawing>
          <wp:anchor distT="0" distB="0" distL="114300" distR="114300" simplePos="0" relativeHeight="251662336" behindDoc="0" locked="0" layoutInCell="1" allowOverlap="1" wp14:anchorId="61192F1A" wp14:editId="1E30E3F8">
            <wp:simplePos x="0" y="0"/>
            <wp:positionH relativeFrom="margin">
              <wp:align>center</wp:align>
            </wp:positionH>
            <wp:positionV relativeFrom="paragraph">
              <wp:posOffset>1113055</wp:posOffset>
            </wp:positionV>
            <wp:extent cx="4045585" cy="274574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5585" cy="2745740"/>
                    </a:xfrm>
                    <a:prstGeom prst="rect">
                      <a:avLst/>
                    </a:prstGeom>
                    <a:noFill/>
                    <a:ln>
                      <a:noFill/>
                    </a:ln>
                  </pic:spPr>
                </pic:pic>
              </a:graphicData>
            </a:graphic>
          </wp:anchor>
        </w:drawing>
      </w:r>
      <w:r w:rsidRPr="00DB66B9">
        <w:t>L'atténuation se manifeste par une diminution du signal reçu en raison de l'absorption causée par la présence de particules gazeuses ou d'hydrométéores le long de la liaison. Dans la plage de fréquences de 1 à 1 000 GHz, les composants gazeux impliqués sont l'air sec, principalement l'oxygène moléculaire, ainsi que la vapeur d'eau. Les hydrométéores tels que les nuages et les précipitations (pluie, neige) sont les principaux contributeurs à l'atténuation des signaux reçus</w:t>
      </w:r>
      <w:r>
        <w:t xml:space="preserve"> aux latitudes moyennes comme le montre la figure 1.2</w:t>
      </w:r>
      <w:r w:rsidRPr="00DB66B9">
        <w:t>.</w:t>
      </w:r>
    </w:p>
    <w:p w14:paraId="459B4F4C" w14:textId="77777777" w:rsidR="00DB66B9" w:rsidRDefault="0019151E" w:rsidP="0019151E">
      <w:pPr>
        <w:jc w:val="both"/>
      </w:pPr>
      <w:r w:rsidRPr="0019151E">
        <w:t>À des fréquences inférieures à 1000 GHz, l'atténuation due à l'air sec est principalement attribuable à l'oxygène moléculaire. Le spectre de l'oxygène moléculaire se caractérise par des raies d'absorption à différentes fréquences, dont une série de raies resserrées entre 50 et 70 GHz (indiquée par la courbe rouge dans la figure 1.2). Ces raies forment un ensemble continu d'absorption à de faibles latitudes. On observe également d'autres raies isolées, notamment à 119 GHz et 300 GHz.</w:t>
      </w:r>
      <w:r>
        <w:t xml:space="preserve"> La forme des raies dépend de deux paramètres météorologiques : la pression et la température. La recommandation ITU-</w:t>
      </w:r>
      <w:r>
        <w:lastRenderedPageBreak/>
        <w:t>R P.676 permet de calculer la distribution cumulative de l’atténuation due à l’oxygène, et sa méthode est décrite dans la section 3.1.</w:t>
      </w:r>
    </w:p>
    <w:p w14:paraId="723DE489" w14:textId="77777777" w:rsidR="0019151E" w:rsidRDefault="00C7036B" w:rsidP="00C7036B">
      <w:pPr>
        <w:jc w:val="both"/>
      </w:pPr>
      <w:r w:rsidRPr="00C7036B">
        <w:t>L'atténuation causée par la vapeur d'eau, tout comme celle due à l'oxygène, présente un spectre de raies d'absorption avec des pics de résonance situés autour de 22 GHz, 183 GHz et 320 GHz. Le premier pic est visible dans la figure 1.2 (représenté par la courbe bleue). La forme de ces raies dépend de trois paramètres météorologiques : la pression atmosphérique, la température et la teneur en vapeur d'eau dans l'atmosphère. La recommandation ITU-R P.676 propose une méthode pour calculer l'atténuation due à la vapeur d'eau, et cette méthode est détaillée dans la section 3.1.</w:t>
      </w:r>
    </w:p>
    <w:p w14:paraId="4B754904" w14:textId="77777777" w:rsidR="00C7036B" w:rsidRDefault="003E4E4E" w:rsidP="00C7036B">
      <w:pPr>
        <w:jc w:val="both"/>
      </w:pPr>
      <w:r w:rsidRPr="003E4E4E">
        <w:t>Les nuages se composent de minuscules gouttes d'eau en suspension, considérées comme</w:t>
      </w:r>
      <w:r>
        <w:t xml:space="preserve"> de tailles</w:t>
      </w:r>
      <w:r w:rsidRPr="003E4E4E">
        <w:t xml:space="preserve"> négligeables par rapport à la longueur d'onde pour des fréquences inférieures à 300 GHz. Dans ce cas, l'approximation de Rayleigh de la théorie de Mie peut être appliquée pour calculer l'atténuation due aux nuages, en se basant sur deux paramètres météorologiques : la quantité d'eau liquide présente dans les nuages et la température à l'intérieur du nuage. La figure 1.2 présente l'atténuation spécifique pour les nuages cumulus (représentés par la courbe en pointillés verts) et les cumulonimbus (représentés en rose pointillé), qui sont les deux principaux types de nuages responsables des précipitations </w:t>
      </w:r>
      <w:r w:rsidR="00922188">
        <w:fldChar w:fldCharType="begin"/>
      </w:r>
      <w:r w:rsidR="00922188">
        <w:instrText xml:space="preserve"> ADDIN ZOTERO_ITEM CSL_CITATION {"citationID":"Md9Ed0oH","properties":{"formattedCitation":"(Gandhidasan et al., 2018)","plainCitation":"(Gandhidasan et al., 2018)","noteIndex":0},"citationItems":[{"id":36,"uris":["http://zotero.org/users/local/n6fh7qN8/items/S58FB6AY"],"itemData":{"id":36,"type":"article-journal","container-title":"Aerosol and Air Quality Research","issue":"1","note":"publisher: Taiwan Association for Aerosol Research","page":"200–213","source":"Google Scholar","title":"Simplified modeling and analysis of the fog water harvesting system in the Asir Region of the Kingdom of Saudi Arabia","volume":"18","author":[{"family":"Gandhidasan","given":"Palanichamy"},{"family":"Abualhamayel","given":"Habib I."},{"family":"Patel","given":"Faheemuddin"}],"issued":{"date-parts":[["2018"]]}}}],"schema":"https://github.com/citation-style-language/schema/raw/master/csl-citation.json"} </w:instrText>
      </w:r>
      <w:r w:rsidR="00922188">
        <w:fldChar w:fldCharType="separate"/>
      </w:r>
      <w:r w:rsidR="00922188" w:rsidRPr="00922188">
        <w:rPr>
          <w:rFonts w:ascii="Calibri" w:hAnsi="Calibri" w:cs="Calibri"/>
        </w:rPr>
        <w:t>(Gandhidasan et al., 2018)</w:t>
      </w:r>
      <w:r w:rsidR="00922188">
        <w:fldChar w:fldCharType="end"/>
      </w:r>
      <w:r w:rsidR="00922188">
        <w:t xml:space="preserve">. </w:t>
      </w:r>
      <w:r w:rsidRPr="003E4E4E">
        <w:t>La recommandation ITU-R P.840 propose une méthode détaillée pour calculer l'atténuation due aux nuages, et elle est expliquée en détail dans la section 3.2.</w:t>
      </w:r>
    </w:p>
    <w:p w14:paraId="6D7EF1FF" w14:textId="77777777" w:rsidR="003E4E4E" w:rsidRDefault="003E4E4E" w:rsidP="00C7036B">
      <w:pPr>
        <w:jc w:val="both"/>
      </w:pPr>
      <w:r>
        <w:t xml:space="preserve">L’atténuation dues aux précipitations est l’effet dominant pour </w:t>
      </w:r>
      <w:r w:rsidR="00922188">
        <w:t>d</w:t>
      </w:r>
      <w:r>
        <w:t>es communication</w:t>
      </w:r>
      <w:r w:rsidR="00922188">
        <w:t>s par satellites opérant dans la bande de fréquence de 10 à 50GHz. Ceci est mis en avant dans le graphique ou la représentation de deux précipitations pluvieuses, une d’intensité modéré en turquoise et une autre d’intensité élevé en noir, sont représentées. Pour des fréquences entre 50 à 70GHz, la vapeur d’eau devient l’un des principaux contributeurs à l’atténuation. Pour des fréquences supérieures à 70GHz, l’atténuation induite par les nuages augmente beaucoup jusqu’à atténuer autant que des précipitations pluvieuses intenses.</w:t>
      </w:r>
      <w:r w:rsidR="00E27C22">
        <w:t xml:space="preserve"> La recommandation ITU-R P.318 propose une méthode détaillée pour calculer l’atténuation due aux précipitations pluvieuses, et elle est expliqué en détail dans la section 3.3.</w:t>
      </w:r>
    </w:p>
    <w:p w14:paraId="3A16B1C8" w14:textId="77777777" w:rsidR="00E27C22" w:rsidRDefault="00E27C22" w:rsidP="00C7036B">
      <w:pPr>
        <w:jc w:val="both"/>
      </w:pPr>
    </w:p>
    <w:p w14:paraId="13AF2019" w14:textId="77777777" w:rsidR="0058349D" w:rsidRDefault="0058349D" w:rsidP="0058349D">
      <w:pPr>
        <w:pStyle w:val="Titre3"/>
        <w:numPr>
          <w:ilvl w:val="2"/>
          <w:numId w:val="1"/>
        </w:numPr>
      </w:pPr>
      <w:r>
        <w:t>La scintillation</w:t>
      </w:r>
    </w:p>
    <w:p w14:paraId="406F1BC6" w14:textId="77777777" w:rsidR="0058349D" w:rsidRDefault="0058349D" w:rsidP="0058349D"/>
    <w:p w14:paraId="018959B8" w14:textId="77777777" w:rsidR="0058349D" w:rsidRDefault="0058349D" w:rsidP="0058349D">
      <w:pPr>
        <w:jc w:val="both"/>
      </w:pPr>
      <w:r>
        <w:t>La scintillation est le résultat de fluctuations rapides d'amplitude, de phase et d'angle d'arrivée des signaux reçus lors de leur traversée de l'atmosphère. Ce phénomène peut se produire sur les liaisons Terre-satellite, avec deux types de scintillation : ionosphérique et troposphérique, selon la bande de fréquence considérée. Au-dessus de 10 GHz, la scintillation troposphérique est le principal responsable des fluctuations rapides de signal, car la scintillation ionosphérique diminue avec la fréquence, contrairement à la scintillation troposphérique. Cette dernière est due aux petites inhomogénéités de l'indice de réfraction causées par la turbulence atmosphérique dans les basses couches de la troposphère. Les effets de scintillation les plus problématiques sur les liaisons Terre-satellite sont liés aux fortes turbulences dans les nuages et aux périodes de ciel clair pendant les périodes chaudes de l'année.</w:t>
      </w:r>
    </w:p>
    <w:p w14:paraId="0D4392B5" w14:textId="77777777" w:rsidR="0058349D" w:rsidRDefault="0058349D" w:rsidP="0058349D">
      <w:pPr>
        <w:jc w:val="both"/>
      </w:pPr>
      <w:r>
        <w:t>Sur le plan météorologique, l'intensité de la scintillation troposphérique augmente principalement avec la température et l'humidité, en particulier dans les régions chaudes (comme par exemple les région tropicales et équatoriales) et humides (comme les régions tropicales</w:t>
      </w:r>
      <w:r w:rsidR="00250DE8">
        <w:t xml:space="preserve"> </w:t>
      </w:r>
      <w:r>
        <w:t xml:space="preserve">et polaires). Du point de vue radioélectrique, l'intensité de la scintillation troposphérique augmente avec la fréquence et </w:t>
      </w:r>
      <w:r w:rsidR="007046A8">
        <w:t xml:space="preserve">la diminution de </w:t>
      </w:r>
      <w:r>
        <w:t xml:space="preserve">l'angle d'élévation, tandis qu'elle diminue avec la taille de l'antenne. </w:t>
      </w:r>
    </w:p>
    <w:p w14:paraId="745FD955" w14:textId="77777777" w:rsidR="00C73A60" w:rsidRPr="0058349D" w:rsidRDefault="00C73A60" w:rsidP="0058349D">
      <w:pPr>
        <w:jc w:val="both"/>
      </w:pPr>
      <w:r>
        <w:rPr>
          <w:noProof/>
          <w:lang w:val="en-US"/>
        </w:rPr>
        <w:lastRenderedPageBreak/>
        <mc:AlternateContent>
          <mc:Choice Requires="wps">
            <w:drawing>
              <wp:anchor distT="0" distB="0" distL="114300" distR="114300" simplePos="0" relativeHeight="251667456" behindDoc="0" locked="0" layoutInCell="1" allowOverlap="1" wp14:anchorId="54A66DAB" wp14:editId="0FCA2B64">
                <wp:simplePos x="0" y="0"/>
                <wp:positionH relativeFrom="margin">
                  <wp:align>center</wp:align>
                </wp:positionH>
                <wp:positionV relativeFrom="paragraph">
                  <wp:posOffset>3591560</wp:posOffset>
                </wp:positionV>
                <wp:extent cx="385254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75E92A63" w14:textId="200378ED" w:rsidR="00FC7555" w:rsidRPr="00D77DEF" w:rsidRDefault="00FC7555" w:rsidP="00C73A60">
                            <w:pPr>
                              <w:pStyle w:val="Lgende"/>
                              <w:jc w:val="center"/>
                              <w:rPr>
                                <w:noProof/>
                              </w:rPr>
                            </w:pPr>
                            <w:r>
                              <w:t xml:space="preserve">Figure </w:t>
                            </w:r>
                            <w:r w:rsidR="006916B9">
                              <w:fldChar w:fldCharType="begin"/>
                            </w:r>
                            <w:r w:rsidR="006916B9">
                              <w:instrText xml:space="preserve"> STYLEREF 1 \s </w:instrText>
                            </w:r>
                            <w:r w:rsidR="006916B9">
                              <w:fldChar w:fldCharType="separate"/>
                            </w:r>
                            <w:r>
                              <w:rPr>
                                <w:noProof/>
                              </w:rPr>
                              <w:t>1</w:t>
                            </w:r>
                            <w:r w:rsidR="006916B9">
                              <w:rPr>
                                <w:noProof/>
                              </w:rPr>
                              <w:fldChar w:fldCharType="end"/>
                            </w:r>
                            <w:r>
                              <w:t>.</w:t>
                            </w:r>
                            <w:r w:rsidR="006916B9">
                              <w:fldChar w:fldCharType="begin"/>
                            </w:r>
                            <w:r w:rsidR="006916B9">
                              <w:instrText xml:space="preserve"> SEQ Figure \* ARABIC \s 1 </w:instrText>
                            </w:r>
                            <w:r w:rsidR="006916B9">
                              <w:fldChar w:fldCharType="separate"/>
                            </w:r>
                            <w:r>
                              <w:rPr>
                                <w:noProof/>
                              </w:rPr>
                              <w:t>3</w:t>
                            </w:r>
                            <w:r w:rsidR="006916B9">
                              <w:rPr>
                                <w:noProof/>
                              </w:rPr>
                              <w:fldChar w:fldCharType="end"/>
                            </w:r>
                            <w:r>
                              <w:t xml:space="preserve"> – Atténuation due à la scintillation troposphérique pour différents angles d’élévations à travers une gamme de fréquence </w:t>
                            </w:r>
                            <w:r w:rsidRPr="00C73A60">
                              <w:fldChar w:fldCharType="begin"/>
                            </w:r>
                            <w:r w:rsidRPr="00C73A60">
                              <w:instrText xml:space="preserve"> ADDIN ZOTERO_ITEM CSL_CITATION {"citationID":"EKTNt5re","properties":{"formattedCitation":"(De Raffaele et al., 2011)","plainCitation":"(De Raffaele et al., 2011)","noteIndex":0},"citationItems":[{"id":210,"uris":["http://zotero.org/users/local/n6fh7qN8/items/6CQSEHNE"],"itemData":{"id":210,"type":"paper-conference","abstract":"The persistent growth in demand for broadband communication services has lead to the widespread deployment of high-frequency Ka-Band satellite communication systems. This phenomenon however, presents a scenario whereby aircraft in mid-flight are evermore subjected to a diversity of external high frequency signals. The latter can potentially generate Electromagnetic Interference (EMI) with the communications and control avionic systems onboard the aircraft. These drastic effects are becoming increasingly noteworthy, and the aircraft industry is progressively seeking more thorough electromagnetic compatibility assessments prior to aircraft manufacture.","DOI":"10.1109/AERO.2011.5747359","event-title":"IEEE Aerospace Conference Proceedings","page":"1-8","source":"ResearchGate","title":"Modeling Electromagnetic signal levels falling on aircraft from satellite communication systems","author":[{"family":"De Raffaele","given":"Clifford"},{"family":"Debono","given":"Carl"},{"family":"Muscat","given":"Adrian"}],"issued":{"date-parts":[["2011",4,12]]}}}],"schema":"https://github.com/citation-style-language/schema/raw/master/csl-citation.json"} </w:instrText>
                            </w:r>
                            <w:r w:rsidRPr="00C73A60">
                              <w:fldChar w:fldCharType="separate"/>
                            </w:r>
                            <w:r w:rsidRPr="00C73A60">
                              <w:rPr>
                                <w:rFonts w:ascii="Calibri" w:hAnsi="Calibri" w:cs="Calibri"/>
                              </w:rPr>
                              <w:t>(De Raffaele et al., 2011)</w:t>
                            </w:r>
                            <w:r w:rsidRPr="00C73A6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66DAB" id="Zone de texte 5" o:spid="_x0000_s1028" type="#_x0000_t202" style="position:absolute;left:0;text-align:left;margin-left:0;margin-top:282.8pt;width:303.3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" stroked="f">
                <v:textbox style="mso-fit-shape-to-text:t" inset="0,0,0,0">
                  <w:txbxContent>
                    <w:p w14:paraId="75E92A63" w14:textId="200378ED" w:rsidR="00FC7555" w:rsidRPr="00D77DEF" w:rsidRDefault="00FC7555" w:rsidP="00C73A60">
                      <w:pPr>
                        <w:pStyle w:val="Lgende"/>
                        <w:jc w:val="center"/>
                        <w:rPr>
                          <w:noProof/>
                        </w:rPr>
                      </w:pPr>
                      <w:r>
                        <w:t xml:space="preserve">Figure </w:t>
                      </w:r>
                      <w:fldSimple w:instr=" STYLEREF 1 \s ">
                        <w:r>
                          <w:rPr>
                            <w:noProof/>
                          </w:rPr>
                          <w:t>1</w:t>
                        </w:r>
                      </w:fldSimple>
                      <w:r>
                        <w:t>.</w:t>
                      </w:r>
                      <w:fldSimple w:instr=" SEQ Figure \* ARABIC \s 1 ">
                        <w:r>
                          <w:rPr>
                            <w:noProof/>
                          </w:rPr>
                          <w:t>3</w:t>
                        </w:r>
                      </w:fldSimple>
                      <w:r>
                        <w:t xml:space="preserve"> – Atténuation due à la scintillation troposphérique pour différents angles d’élévations à travers une gamme de fréquence </w:t>
                      </w:r>
                      <w:r w:rsidRPr="00C73A60">
                        <w:fldChar w:fldCharType="begin"/>
                      </w:r>
                      <w:r w:rsidRPr="00C73A60">
                        <w:instrText xml:space="preserve"> ADDIN ZOTERO_ITEM CSL_CITATION {"citationID":"EKTNt5re","properties":{"formattedCitation":"(De Raffaele et al., 2011)","plainCitation":"(De Raffaele et al., 2011)","noteIndex":0},"citationItems":[{"id":210,"uris":["http://zotero.org/users/local/n6fh7qN8/items/6CQSEHNE"],"itemData":{"id":210,"type":"paper-conference","abstract":"The persistent growth in demand for broadband communication services has lead to the widespread deployment of high-frequency Ka-Band satellite communication systems. This phenomenon however, presents a scenario whereby aircraft in mid-flight are evermore subjected to a diversity of external high frequency signals. The latter can potentially generate Electromagnetic Interference (EMI) with the communications and control avionic systems onboard the aircraft. These drastic effects are becoming increasingly noteworthy, and the aircraft industry is progressively seeking more thorough electromagnetic compatibility assessments prior to aircraft manufacture.","DOI":"10.1109/AERO.2011.5747359","event-title":"IEEE Aerospace Conference Proceedings","page":"1-8","source":"ResearchGate","title":"Modeling Electromagnetic signal levels falling on aircraft from satellite communication systems","author":[{"family":"De Raffaele","given":"Clifford"},{"family":"Debono","given":"Carl"},{"family":"Muscat","given":"Adrian"}],"issued":{"date-parts":[["2011",4,12]]}}}],"schema":"https://github.com/citation-style-language/schema/raw/master/csl-citation.json"} </w:instrText>
                      </w:r>
                      <w:r w:rsidRPr="00C73A60">
                        <w:fldChar w:fldCharType="separate"/>
                      </w:r>
                      <w:r w:rsidRPr="00C73A60">
                        <w:rPr>
                          <w:rFonts w:ascii="Calibri" w:hAnsi="Calibri" w:cs="Calibri"/>
                        </w:rPr>
                        <w:t>(De Raffaele et al., 2011)</w:t>
                      </w:r>
                      <w:r w:rsidRPr="00C73A60">
                        <w:fldChar w:fldCharType="end"/>
                      </w:r>
                    </w:p>
                  </w:txbxContent>
                </v:textbox>
                <w10:wrap type="topAndBottom" anchorx="margin"/>
              </v:shape>
            </w:pict>
          </mc:Fallback>
        </mc:AlternateContent>
      </w:r>
      <w:r>
        <w:rPr>
          <w:noProof/>
          <w:lang w:val="en-US"/>
        </w:rPr>
        <w:drawing>
          <wp:anchor distT="0" distB="0" distL="114300" distR="114300" simplePos="0" relativeHeight="251665408" behindDoc="0" locked="0" layoutInCell="1" allowOverlap="1" wp14:anchorId="59EF4EE1" wp14:editId="4CB1E661">
            <wp:simplePos x="0" y="0"/>
            <wp:positionH relativeFrom="margin">
              <wp:align>center</wp:align>
            </wp:positionH>
            <wp:positionV relativeFrom="paragraph">
              <wp:posOffset>640748</wp:posOffset>
            </wp:positionV>
            <wp:extent cx="3524605" cy="28956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605" cy="2895600"/>
                    </a:xfrm>
                    <a:prstGeom prst="rect">
                      <a:avLst/>
                    </a:prstGeom>
                  </pic:spPr>
                </pic:pic>
              </a:graphicData>
            </a:graphic>
          </wp:anchor>
        </w:drawing>
      </w:r>
      <w:r>
        <w:t xml:space="preserve">La figure 1.3 est extraite de </w:t>
      </w:r>
      <w:r>
        <w:fldChar w:fldCharType="begin"/>
      </w:r>
      <w:r>
        <w:instrText xml:space="preserve"> ADDIN ZOTERO_ITEM CSL_CITATION {"citationID":"EKTNt5re","properties":{"formattedCitation":"(De Raffaele et al., 2011)","plainCitation":"(De Raffaele et al., 2011)","noteIndex":0},"citationItems":[{"id":210,"uris":["http://zotero.org/users/local/n6fh7qN8/items/6CQSEHNE"],"itemData":{"id":210,"type":"paper-conference","abstract":"The persistent growth in demand for broadband communication services has lead to the widespread deployment of high-frequency Ka-Band satellite communication systems. This phenomenon however, presents a scenario whereby aircraft in mid-flight are evermore subjected to a diversity of external high frequency signals. The latter can potentially generate Electromagnetic Interference (EMI) with the communications and control avionic systems onboard the aircraft. These drastic effects are becoming increasingly noteworthy, and the aircraft industry is progressively seeking more thorough electromagnetic compatibility assessments prior to aircraft manufacture.","DOI":"10.1109/AERO.2011.5747359","event-title":"IEEE Aerospace Conference Proceedings","page":"1-8","source":"ResearchGate","title":"Modeling Electromagnetic signal levels falling on aircraft from satellite communication systems","author":[{"family":"De Raffaele","given":"Clifford"},{"family":"Debono","given":"Carl"},{"family":"Muscat","given":"Adrian"}],"issued":{"date-parts":[["2011",4,12]]}}}],"schema":"https://github.com/citation-style-language/schema/raw/master/csl-citation.json"} </w:instrText>
      </w:r>
      <w:r>
        <w:fldChar w:fldCharType="separate"/>
      </w:r>
      <w:r w:rsidRPr="00C73A60">
        <w:rPr>
          <w:rFonts w:ascii="Calibri" w:hAnsi="Calibri" w:cs="Calibri"/>
        </w:rPr>
        <w:t>(De Raffaele et al., 2011)</w:t>
      </w:r>
      <w:r>
        <w:fldChar w:fldCharType="end"/>
      </w:r>
      <w:r w:rsidR="007046A8">
        <w:t xml:space="preserve"> </w:t>
      </w:r>
      <w:r>
        <w:t xml:space="preserve"> illustre un parfait exemple de l’ordre de grandeur que peut atteindre l’atténuation due à la scintillation troposphérique. Ces données ont étés </w:t>
      </w:r>
      <w:r w:rsidR="007046A8">
        <w:t xml:space="preserve">calculées selon la technique précise de </w:t>
      </w:r>
      <w:r w:rsidR="007046A8">
        <w:fldChar w:fldCharType="begin"/>
      </w:r>
      <w:r w:rsidR="007046A8">
        <w:instrText xml:space="preserve"> ADDIN ZOTERO_ITEM CSL_CITATION {"citationID":"vgVFJHYk","properties":{"formattedCitation":"(van de\\uc0\\u160{}Kamp, 1999)","plainCitation":"(van de Kamp, 1999)","noteIndex":0},"citationItems":[{"id":214,"uris":["http://zotero.org/users/local/n6fh7qN8/items/WLBI74IL"],"itemData":{"id":214,"type":"article-journal","source":"Google Scholar","title":"Climatic radiowave propagation models for the design of satellite communication systems","URL":"https://research.tue.nl/files/1562232/9903235.pdf","author":[{"family":"Kamp","given":"Max MJL","non-dropping-particle":"van de"}],"accessed":{"date-parts":[["2023",10,3]]},"issued":{"date-parts":[["1999"]]}}}],"schema":"https://github.com/citation-style-language/schema/raw/master/csl-citation.json"} </w:instrText>
      </w:r>
      <w:r w:rsidR="007046A8">
        <w:fldChar w:fldCharType="separate"/>
      </w:r>
      <w:r w:rsidR="007046A8" w:rsidRPr="007046A8">
        <w:rPr>
          <w:rFonts w:ascii="Calibri" w:hAnsi="Calibri" w:cs="Calibri"/>
          <w:szCs w:val="24"/>
        </w:rPr>
        <w:t>(van de Kamp, 1999)</w:t>
      </w:r>
      <w:r w:rsidR="007046A8">
        <w:fldChar w:fldCharType="end"/>
      </w:r>
      <w:r>
        <w:t xml:space="preserve"> </w:t>
      </w:r>
      <w:r w:rsidR="007046A8">
        <w:t>pour</w:t>
      </w:r>
      <w:r>
        <w:t xml:space="preserve"> Genève (température 6°C, 75% d’humidité), en suisse, </w:t>
      </w:r>
      <w:r w:rsidR="007046A8">
        <w:t xml:space="preserve">et </w:t>
      </w:r>
      <w:r>
        <w:t>pour différents angles d’élévations.</w:t>
      </w:r>
      <w:r w:rsidR="007046A8">
        <w:t xml:space="preserve"> On remarque sur cette courbe que pour des angles d’élévation faibles (inférieurs à 10°) l’atténuation due à la scintillation troposphérique n’est plus négligeable. Celle-ci peut atteindre 1dB pour des fréquences autour de la bande Ka et augmente encore avec la fréquence.</w:t>
      </w:r>
    </w:p>
    <w:p w14:paraId="1C218456" w14:textId="77777777" w:rsidR="00C73A60" w:rsidRDefault="00C73A60" w:rsidP="00DB66B9"/>
    <w:p w14:paraId="4CDE8912" w14:textId="77777777" w:rsidR="00DB66B9" w:rsidRDefault="00250DE8" w:rsidP="00250DE8">
      <w:pPr>
        <w:pStyle w:val="Titre3"/>
        <w:numPr>
          <w:ilvl w:val="2"/>
          <w:numId w:val="1"/>
        </w:numPr>
      </w:pPr>
      <w:r>
        <w:t>La dépolarisation</w:t>
      </w:r>
    </w:p>
    <w:p w14:paraId="103D495D" w14:textId="77777777" w:rsidR="00250DE8" w:rsidRDefault="00250DE8" w:rsidP="00250DE8"/>
    <w:p w14:paraId="1A3435C0" w14:textId="77777777" w:rsidR="00250DE8" w:rsidRDefault="002779AF" w:rsidP="002779AF">
      <w:pPr>
        <w:jc w:val="both"/>
      </w:pPr>
      <w:r w:rsidRPr="002779AF">
        <w:t xml:space="preserve">La réutilisation de polarisation, qui double la capacité des systèmes en transmettant des informations sur deux polarisations orthogonales simultanément, peut être entravée par des effets atmosphériques. La dépolarisation diffère dans l'ionosphère et la troposphère. Au-dessus de 10 GHz, les effets ionosphériques, comme la rotation Faraday, peuvent être ignorés. Dans la troposphère, la dépolarisation est due à la présence d'hydrométéores non sphériques (gouttes de pluie, cristaux de glace, flocons de neige...), surtout s'ils suivent une trajectoire oblique. Cela entraîne des atténuations et des phases différentes sur chaque polarisation, provoquant une rotation du plan de polarisation et augmentant le couplage entre les polarisations. Entre 10 et 15 GHz (bande Ku), la dépolarisation est principalement causée par les fortes précipitations (averses, orages) entraînant également des atténuations élevées. Dans la bande Ka (20 à 30 GHz) et spécialement dans la bande Q/V (40 à 50 GHz), la dépolarisation due à la glace peut atteindre des valeurs significatives (nuages de glace en haute altitude, couche de fusion des précipitations stratiformes produisant des atténuations relativement modérées). </w:t>
      </w:r>
    </w:p>
    <w:p w14:paraId="5FFECCBB" w14:textId="77777777" w:rsidR="00904C29" w:rsidRDefault="00904C29" w:rsidP="00904C29">
      <w:pPr>
        <w:jc w:val="both"/>
      </w:pPr>
    </w:p>
    <w:p w14:paraId="4D0114CC" w14:textId="1ABE41A4" w:rsidR="00DB66B9" w:rsidRDefault="00904C29" w:rsidP="00904C29">
      <w:pPr>
        <w:jc w:val="both"/>
      </w:pPr>
      <w:r>
        <w:t xml:space="preserve">Après avoir exploré en détail les caractéristiques générales de la troposphère et les facteurs qui influent sur la propagation des ondes électromagnétiques, nous nous tournons désormais vers les </w:t>
      </w:r>
      <w:r w:rsidR="009A0929">
        <w:lastRenderedPageBreak/>
        <w:t>zones hautes latitudes</w:t>
      </w:r>
      <w:r>
        <w:t xml:space="preserve">. Ces régions, souvent considérées comme éloignées et inhospitalières, revêtent un intérêt particulier dans le contexte des communications sol-satellites. En effet, les conditions atmosphériques uniques des pôles peuvent avoir un impact significatif sur la transmission des signaux entre la Terre et les satellites en orbite. Dans le cadre de notre exploration, nous allons plonger dans le climat polaire, examinant de près ses caractéristiques les plus influentes. </w:t>
      </w:r>
      <w:r w:rsidRPr="00904C29">
        <w:t xml:space="preserve">Cette étude approfondie nous aidera à mieux appréhender les défis particuliers posés par les communications et à mettre en lumière les perturbateurs de propagation les </w:t>
      </w:r>
      <w:r>
        <w:t>présents</w:t>
      </w:r>
      <w:r w:rsidRPr="00904C29">
        <w:t xml:space="preserve"> dans ces régions.</w:t>
      </w:r>
    </w:p>
    <w:p w14:paraId="3D87C168" w14:textId="77777777" w:rsidR="00DB66B9" w:rsidRPr="00DB66B9" w:rsidRDefault="00DB66B9" w:rsidP="00DB66B9"/>
    <w:p w14:paraId="1C1390D2" w14:textId="77777777" w:rsidR="008D13ED" w:rsidRDefault="005A1F37" w:rsidP="008D13ED">
      <w:pPr>
        <w:pStyle w:val="Titre1"/>
        <w:numPr>
          <w:ilvl w:val="0"/>
          <w:numId w:val="1"/>
        </w:numPr>
      </w:pPr>
      <w:r>
        <w:t xml:space="preserve">Les caractéristiques de la troposphère </w:t>
      </w:r>
      <w:r w:rsidR="00FA5B1C">
        <w:t>des hautes latitudes</w:t>
      </w:r>
    </w:p>
    <w:p w14:paraId="35A77A31" w14:textId="77777777" w:rsidR="00904C29" w:rsidRDefault="00904C29" w:rsidP="00904C29"/>
    <w:p w14:paraId="75078297" w14:textId="13C0F21A" w:rsidR="00904C29" w:rsidRDefault="00EB32F5" w:rsidP="00A62FDF">
      <w:pPr>
        <w:jc w:val="both"/>
      </w:pPr>
      <w:r>
        <w:rPr>
          <w:noProof/>
          <w:lang w:val="en-US"/>
        </w:rPr>
        <mc:AlternateContent>
          <mc:Choice Requires="wps">
            <w:drawing>
              <wp:anchor distT="0" distB="0" distL="114300" distR="114300" simplePos="0" relativeHeight="251670528" behindDoc="0" locked="0" layoutInCell="1" allowOverlap="1" wp14:anchorId="5FDFEC81" wp14:editId="6C0999FC">
                <wp:simplePos x="0" y="0"/>
                <wp:positionH relativeFrom="margin">
                  <wp:align>center</wp:align>
                </wp:positionH>
                <wp:positionV relativeFrom="paragraph">
                  <wp:posOffset>5819140</wp:posOffset>
                </wp:positionV>
                <wp:extent cx="3594735" cy="635"/>
                <wp:effectExtent l="0" t="0" r="5715" b="0"/>
                <wp:wrapTopAndBottom/>
                <wp:docPr id="7" name="Zone de texte 7"/>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2341A45E" w14:textId="0CEF54D0" w:rsidR="00FC7555" w:rsidRPr="009C4DC3" w:rsidRDefault="00FC7555" w:rsidP="00DF2E82">
                            <w:pPr>
                              <w:pStyle w:val="Lgende"/>
                              <w:jc w:val="center"/>
                              <w:rPr>
                                <w:noProof/>
                              </w:rPr>
                            </w:pPr>
                            <w:r>
                              <w:t>Figure 1.4 – Orbites des satellites LEO (orange) et GEO (rouge) et mise en évidence de la haute fréquence de passages des satellites LEO aux pôles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FEC81" id="Zone de texte 7" o:spid="_x0000_s1029" type="#_x0000_t202" style="position:absolute;left:0;text-align:left;margin-left:0;margin-top:458.2pt;width:283.0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" stroked="f">
                <v:textbox style="mso-fit-shape-to-text:t" inset="0,0,0,0">
                  <w:txbxContent>
                    <w:p w14:paraId="2341A45E" w14:textId="0CEF54D0" w:rsidR="00FC7555" w:rsidRPr="009C4DC3" w:rsidRDefault="00FC7555" w:rsidP="00DF2E82">
                      <w:pPr>
                        <w:pStyle w:val="Lgende"/>
                        <w:jc w:val="center"/>
                        <w:rPr>
                          <w:noProof/>
                        </w:rPr>
                      </w:pPr>
                      <w:r>
                        <w:t>Figure 1.4 – Orbites des satellites LEO (orange) et GEO (rouge) et mise en évidence de la haute fréquence de passages des satellites LEO aux pôles</w:t>
                      </w:r>
                    </w:p>
                  </w:txbxContent>
                </v:textbox>
                <w10:wrap type="topAndBottom" anchorx="margin"/>
              </v:shape>
            </w:pict>
          </mc:Fallback>
        </mc:AlternateContent>
      </w:r>
      <w:r>
        <w:rPr>
          <w:noProof/>
          <w:lang w:val="en-US"/>
        </w:rPr>
        <w:drawing>
          <wp:anchor distT="0" distB="0" distL="114300" distR="114300" simplePos="0" relativeHeight="251668480" behindDoc="0" locked="0" layoutInCell="1" allowOverlap="1" wp14:anchorId="6CC95E3E" wp14:editId="56ABC363">
            <wp:simplePos x="0" y="0"/>
            <wp:positionH relativeFrom="margin">
              <wp:align>center</wp:align>
            </wp:positionH>
            <wp:positionV relativeFrom="paragraph">
              <wp:posOffset>3552190</wp:posOffset>
            </wp:positionV>
            <wp:extent cx="3594735" cy="2205355"/>
            <wp:effectExtent l="0" t="0" r="5715"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4735" cy="2205355"/>
                    </a:xfrm>
                    <a:prstGeom prst="rect">
                      <a:avLst/>
                    </a:prstGeom>
                  </pic:spPr>
                </pic:pic>
              </a:graphicData>
            </a:graphic>
          </wp:anchor>
        </w:drawing>
      </w:r>
      <w:r w:rsidR="00A62FDF" w:rsidRPr="00A62FDF">
        <w:t xml:space="preserve">Dans les dernières années, l'étude des zones polaires est devenue un domaine d'investigation essentiel, en particulier dans le contexte des communications. Cette montée en intérêt est due à divers facteurs tels que l'augmentation du trafic dans ces régions, liée aux changements climatiques et à la création de nouvelles voies maritimes. Un avantage majeur des communications par satellite dans les zones polaires réside dans la fréquence accrue des passages des satellites en orbite basse polaire, assurant une visibilité quotidienne bien plus longue que dans n'importe quelle autre région du globe, comme le montre la Figure 1.4. Cette fréquence élevée de passages permet des temps de communication journaliers substantiellement accrus, ouvrant la voie à des échanges de données plus vastes et plus fréquents. C'est particulièrement pertinent dans le contexte des nouvelles missions d'observation de la Terre qui génèrent un volume de données considérable. Toutefois, le téléchargement de ces données pourrait potentiellement être impacté par les effets intrinsèques de la troposphère polaire, ainsi que par la géométrie spécifique de l'orbite géostationnaire. En effet, les liaisons depuis les régions polaires se réalisent à des élévations très basses (environ 5° par rapport à 45° dans les latitudes plus </w:t>
      </w:r>
      <w:r w:rsidR="0053139B">
        <w:t>faibles</w:t>
      </w:r>
      <w:r w:rsidR="00A62FDF" w:rsidRPr="00A62FDF">
        <w:t>). C'est dans ce contexte que cette partie se propose d'explorer en détail la manière dont la troposphère polaire influence la propagation des ondes électromagnétiques. Nous commencerons par examiner les différents types de climats que l'on rencontre dans ces régions à hautes latitudes, puis nous nous pencherons sur les caractéristiques principales de la troposphère dans ces zones, qui peuvent entraîner des atténuations significatives.</w:t>
      </w:r>
      <w:r>
        <w:t xml:space="preserve"> Ces deux parties seront valorisées avec l’exemple du cas de l’archipel du Svalbard en Norvège.</w:t>
      </w:r>
    </w:p>
    <w:p w14:paraId="3C29BE10" w14:textId="033F433E" w:rsidR="00A62FDF" w:rsidRDefault="00A62FDF" w:rsidP="00A62FDF">
      <w:pPr>
        <w:jc w:val="both"/>
      </w:pPr>
    </w:p>
    <w:p w14:paraId="286D322C" w14:textId="77777777" w:rsidR="006505E6" w:rsidRDefault="00904C29" w:rsidP="00106A15">
      <w:pPr>
        <w:pStyle w:val="Titre2"/>
        <w:numPr>
          <w:ilvl w:val="1"/>
          <w:numId w:val="1"/>
        </w:numPr>
        <w:jc w:val="both"/>
      </w:pPr>
      <w:r>
        <w:lastRenderedPageBreak/>
        <w:t>Classification des climats</w:t>
      </w:r>
      <w:r w:rsidR="006505E6">
        <w:t xml:space="preserve"> </w:t>
      </w:r>
      <w:r w:rsidR="00DF2E82">
        <w:t>des hautes latitudes</w:t>
      </w:r>
    </w:p>
    <w:p w14:paraId="002A8AF8" w14:textId="77777777" w:rsidR="00904C29" w:rsidRDefault="00904C29" w:rsidP="00904C29"/>
    <w:p w14:paraId="7B21FC6B" w14:textId="77777777" w:rsidR="00191948" w:rsidRDefault="00191948" w:rsidP="00191948">
      <w:pPr>
        <w:jc w:val="both"/>
      </w:pPr>
      <w:r>
        <w:t>L'étude des climats des hautes latitudes est d’une importance cruciale dans la compréhension des régions les plus extrêmes de notre planète, mais aussi afin de mettre en avant les contraintes les plus probables d’influencer la propagation des ondes électromagnétiques à travers sa troposphère. Les climats des hautes latitudes se caractérisent par des températures extrêmement froides et des conditions environnementales difficiles qui imposent des défis uniques pour la communication avec des personnes s’y rendant. La classification des climats des hautes latitudes joue un rôle essentiel dans la catégorisation de ces environnements inhospitaliers, et permet une meilleure connaissance de leurs caractéristiques climatiques spécifiques. Les climats de ces régions sont également sujets à diverses classifications basées sur des facteurs tels que les températures, les précipitations et les caractéristiques géographiques.</w:t>
      </w:r>
    </w:p>
    <w:p w14:paraId="61DD9B24" w14:textId="77777777" w:rsidR="00191948" w:rsidRDefault="00191948" w:rsidP="00B02631">
      <w:pPr>
        <w:spacing w:after="0"/>
        <w:jc w:val="both"/>
      </w:pPr>
      <w:r>
        <w:t xml:space="preserve">L'une des classifications les plus couramment utilisées pour les climats des régions polaires est celle proposée par le système de classification climatique de </w:t>
      </w:r>
      <w:proofErr w:type="spellStart"/>
      <w:r>
        <w:t>Köppen</w:t>
      </w:r>
      <w:proofErr w:type="spellEnd"/>
      <w:r>
        <w:t xml:space="preserve"> </w:t>
      </w:r>
      <w:r>
        <w:fldChar w:fldCharType="begin"/>
      </w:r>
      <w:r>
        <w:instrText xml:space="preserve"> ADDIN ZOTERO_ITEM CSL_CITATION {"citationID":"3LqYrMwJ","properties":{"formattedCitation":"(Kottek et al., 2006)","plainCitation":"(Kottek et al., 2006)","noteIndex":0},"citationItems":[{"id":20,"uris":["http://zotero.org/users/local/n6fh7qN8/items/RVCVZAPR"],"itemData":{"id":20,"type":"article-journal","source":"Google Scholar","title":"World map of the Köppen-Geiger climate classification updated","author":[{"family":"Kottek","given":"Markus"},{"family":"Grieser","given":"Jürgen"},{"family":"Beck","given":"Christoph"},{"family":"Rudolf","given":"Bruno"},{"family":"Rubel","given":"Franz"}],"issued":{"date-parts":[["2006"]]}}}],"schema":"https://github.com/citation-style-language/schema/raw/master/csl-citation.json"} </w:instrText>
      </w:r>
      <w:r>
        <w:fldChar w:fldCharType="separate"/>
      </w:r>
      <w:r w:rsidRPr="00C25F7A">
        <w:rPr>
          <w:rFonts w:ascii="Calibri" w:hAnsi="Calibri" w:cs="Calibri"/>
        </w:rPr>
        <w:t>(</w:t>
      </w:r>
      <w:proofErr w:type="spellStart"/>
      <w:r w:rsidRPr="00C25F7A">
        <w:rPr>
          <w:rFonts w:ascii="Calibri" w:hAnsi="Calibri" w:cs="Calibri"/>
        </w:rPr>
        <w:t>Kottek</w:t>
      </w:r>
      <w:proofErr w:type="spellEnd"/>
      <w:r w:rsidRPr="00C25F7A">
        <w:rPr>
          <w:rFonts w:ascii="Calibri" w:hAnsi="Calibri" w:cs="Calibri"/>
        </w:rPr>
        <w:t xml:space="preserve"> et al., 2006)</w:t>
      </w:r>
      <w:r>
        <w:fldChar w:fldCharType="end"/>
      </w:r>
      <w:r>
        <w:t xml:space="preserve">. Cette classification permet de distinguer 36 différentes zones climatiques en fonction de leurs caractéristiques thermiques et hydriques (voir figure 1.2). Appliquée aux régions hautes latitudes, cette classification permet de mieux appréhender la variabilité des conditions climatiques et de définir des catégories distinctes pour les </w:t>
      </w:r>
      <w:r w:rsidR="00B02631">
        <w:t>celles-ci</w:t>
      </w:r>
      <w:r>
        <w:t> :</w:t>
      </w:r>
    </w:p>
    <w:p w14:paraId="0D95AF7D" w14:textId="77777777" w:rsidR="00B02631" w:rsidRDefault="00191948" w:rsidP="00B02631">
      <w:pPr>
        <w:pStyle w:val="Paragraphedeliste"/>
        <w:numPr>
          <w:ilvl w:val="0"/>
          <w:numId w:val="3"/>
        </w:numPr>
        <w:spacing w:before="240"/>
        <w:jc w:val="both"/>
      </w:pPr>
      <w:r w:rsidRPr="00B02631">
        <w:rPr>
          <w:u w:val="single"/>
        </w:rPr>
        <w:t>Climat Polaire de Toundra (ET)</w:t>
      </w:r>
      <w:r>
        <w:t xml:space="preserve"> : Le climat polaire de toundra se caractérise par des températures froides tout au long de l'année, avec des hivers rigoureux et des étés relativement frais. Les précipitations sont modérées, principalement sous forme de neige même si un peu de pluie survient, et la végétation est limitée à de petits arbustes, des mousses et des lichens. Ce climat est généralement observé dans les régions côtières polaires, telles que le nord de la Scandinavie, le nord de l'Amérique du Nord et c</w:t>
      </w:r>
      <w:r w:rsidR="00B02631">
        <w:t>ertaines parties de l'Arctique.</w:t>
      </w:r>
    </w:p>
    <w:p w14:paraId="427A081B" w14:textId="77777777" w:rsidR="00B02631" w:rsidRDefault="00B02631" w:rsidP="00B02631">
      <w:pPr>
        <w:pStyle w:val="Paragraphedeliste"/>
        <w:spacing w:before="240"/>
        <w:jc w:val="both"/>
      </w:pPr>
    </w:p>
    <w:p w14:paraId="5E95C867" w14:textId="77777777" w:rsidR="00B02631" w:rsidRDefault="00191948" w:rsidP="00B02631">
      <w:pPr>
        <w:pStyle w:val="Paragraphedeliste"/>
        <w:numPr>
          <w:ilvl w:val="0"/>
          <w:numId w:val="3"/>
        </w:numPr>
        <w:spacing w:before="240"/>
        <w:jc w:val="both"/>
      </w:pPr>
      <w:r w:rsidRPr="00B02631">
        <w:rPr>
          <w:u w:val="single"/>
        </w:rPr>
        <w:t>Climat Polaire de Glace (EF)</w:t>
      </w:r>
      <w:r>
        <w:t xml:space="preserve"> : Le climat polaire de glace est marqué par des températures extrêmement froides tout au long de l'année, avec peu de variations saisonnières. Les précipitations sont très faibles, tombant généralement sous forme de neige, et la végétation est presque absente en raison des conditions climatiques très rudes. Ce climat est associé aux vastes étendues de glace et de neige permanentes, caractéristiques des calottes glaciaires du Groenland et de l'Antarctique. </w:t>
      </w:r>
    </w:p>
    <w:p w14:paraId="3335F408" w14:textId="77777777" w:rsidR="00B02631" w:rsidRDefault="00B02631" w:rsidP="00B02631">
      <w:pPr>
        <w:pStyle w:val="Paragraphedeliste"/>
        <w:spacing w:before="240"/>
        <w:jc w:val="both"/>
      </w:pPr>
    </w:p>
    <w:p w14:paraId="37DF9DDD" w14:textId="77777777" w:rsidR="00191948" w:rsidRDefault="00191948" w:rsidP="00B02631">
      <w:pPr>
        <w:pStyle w:val="Paragraphedeliste"/>
        <w:numPr>
          <w:ilvl w:val="0"/>
          <w:numId w:val="3"/>
        </w:numPr>
        <w:spacing w:before="240"/>
        <w:jc w:val="both"/>
      </w:pPr>
      <w:r w:rsidRPr="00661F01">
        <w:rPr>
          <w:u w:val="single"/>
        </w:rPr>
        <w:t>Climat Polaire de Montagne (EH)</w:t>
      </w:r>
      <w:r>
        <w:t xml:space="preserve"> : Le climat polaire de montagne se caractérise par des températures froides tout au long de l'année, avec des variations en fonction de l'altitude. Les précipitations sont variables et tombent principalement sous forme de neige, en particulier à des altitudes élevées. La végétation est limitée et adaptée aux conditions froides et montagneuses. Ce climat est présent dans les régions de hautes montagnes polaires, telles que les chaînes de montagnes de l'Arctique et de l'Antarctique. L'exemple du climat polaire de montagne met en évidence les variations de température en fonction de l'altitude et leurs impacts sur la végétation et les conditions environnementales locales.</w:t>
      </w:r>
    </w:p>
    <w:p w14:paraId="1EC8CE12" w14:textId="77777777" w:rsidR="004574DA" w:rsidRDefault="004574DA" w:rsidP="004574DA">
      <w:pPr>
        <w:ind w:left="360"/>
        <w:jc w:val="both"/>
      </w:pPr>
      <w:r>
        <w:t xml:space="preserve">Les Svalbard, archipel situé dans l'océan Arctique entre la Norvège continentale et le pôle Nord (79°N, 17°E), constituent un exemple frappant des climats polaires et illustrent la diversité des conditions rencontrées dans ces régions extrêmes. En appliquant la classification climatique de </w:t>
      </w:r>
      <w:proofErr w:type="spellStart"/>
      <w:r>
        <w:t>Köppen</w:t>
      </w:r>
      <w:proofErr w:type="spellEnd"/>
      <w:r>
        <w:t>, nous pouvons mieux appréhender les caractéristiques climatiques uniques de cet archipel arctique.</w:t>
      </w:r>
    </w:p>
    <w:p w14:paraId="189644A2" w14:textId="37CB864D" w:rsidR="004574DA" w:rsidRDefault="00812985" w:rsidP="004574DA">
      <w:pPr>
        <w:jc w:val="both"/>
      </w:pPr>
      <w:r>
        <w:rPr>
          <w:noProof/>
          <w:lang w:val="en-US"/>
        </w:rPr>
        <w:lastRenderedPageBreak/>
        <mc:AlternateContent>
          <mc:Choice Requires="wps">
            <w:drawing>
              <wp:anchor distT="0" distB="0" distL="114300" distR="114300" simplePos="0" relativeHeight="251674624" behindDoc="0" locked="0" layoutInCell="1" allowOverlap="1" wp14:anchorId="15EC132A" wp14:editId="1A88AE4E">
                <wp:simplePos x="0" y="0"/>
                <wp:positionH relativeFrom="column">
                  <wp:posOffset>0</wp:posOffset>
                </wp:positionH>
                <wp:positionV relativeFrom="paragraph">
                  <wp:posOffset>3843655</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04F96D" w14:textId="58BF09A8" w:rsidR="00FC7555" w:rsidRPr="00C449AB" w:rsidRDefault="00FC7555" w:rsidP="009A0929">
                            <w:pPr>
                              <w:pStyle w:val="Lgende"/>
                              <w:jc w:val="center"/>
                              <w:rPr>
                                <w:noProof/>
                              </w:rPr>
                            </w:pPr>
                            <w:r>
                              <w:t xml:space="preserve">Figure 1.5 – Système de classification du climat de </w:t>
                            </w:r>
                            <w:proofErr w:type="spellStart"/>
                            <w:r>
                              <w:t>Köppen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C132A" id="Zone de texte 9" o:spid="_x0000_s1030" type="#_x0000_t202" style="position:absolute;left:0;text-align:left;margin-left:0;margin-top:302.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" stroked="f">
                <v:textbox style="mso-fit-shape-to-text:t" inset="0,0,0,0">
                  <w:txbxContent>
                    <w:p w14:paraId="0704F96D" w14:textId="58BF09A8" w:rsidR="00FC7555" w:rsidRPr="00C449AB" w:rsidRDefault="00FC7555" w:rsidP="009A0929">
                      <w:pPr>
                        <w:pStyle w:val="Lgende"/>
                        <w:jc w:val="center"/>
                        <w:rPr>
                          <w:noProof/>
                        </w:rPr>
                      </w:pPr>
                      <w:r>
                        <w:t xml:space="preserve">Figure 1.5 – Système de classification du climat de </w:t>
                      </w:r>
                      <w:proofErr w:type="spellStart"/>
                      <w:r>
                        <w:t>Köppen</w:t>
                      </w:r>
                      <w:proofErr w:type="spellEnd"/>
                    </w:p>
                  </w:txbxContent>
                </v:textbox>
                <w10:wrap type="topAndBottom"/>
              </v:shape>
            </w:pict>
          </mc:Fallback>
        </mc:AlternateContent>
      </w:r>
      <w:r>
        <w:rPr>
          <w:noProof/>
          <w:lang w:val="en-US"/>
        </w:rPr>
        <w:drawing>
          <wp:anchor distT="0" distB="0" distL="114300" distR="114300" simplePos="0" relativeHeight="251672576" behindDoc="0" locked="0" layoutInCell="1" allowOverlap="1" wp14:anchorId="5C7F4F0A" wp14:editId="2A4F2847">
            <wp:simplePos x="0" y="0"/>
            <wp:positionH relativeFrom="margin">
              <wp:align>right</wp:align>
            </wp:positionH>
            <wp:positionV relativeFrom="paragraph">
              <wp:posOffset>187</wp:posOffset>
            </wp:positionV>
            <wp:extent cx="5760720" cy="3786505"/>
            <wp:effectExtent l="0" t="0" r="0" b="4445"/>
            <wp:wrapTopAndBottom/>
            <wp:docPr id="8" name="Image 8" descr="Les climats du globe — Edu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climats du globe — Eduter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86505"/>
                    </a:xfrm>
                    <a:prstGeom prst="rect">
                      <a:avLst/>
                    </a:prstGeom>
                    <a:noFill/>
                    <a:ln>
                      <a:noFill/>
                    </a:ln>
                  </pic:spPr>
                </pic:pic>
              </a:graphicData>
            </a:graphic>
          </wp:anchor>
        </w:drawing>
      </w:r>
      <w:r w:rsidR="004574DA">
        <w:t>Les Svalbard présentent principalement un climat polaire de toundra (ET). Les températures sont en moyennes froides tout au long de l'année, avec des hivers particulièrement rigoureux avec des température moyenne descendant bien en dessous de -20°C et des étés relativement frais aux alentours de 5°C de moyenne. Les précipitations sont modérées, oscillant autour de 400 à 600 mm par an, principalement sous forme de neige sèche en hiver, et de neige humide et pluie en été.</w:t>
      </w:r>
    </w:p>
    <w:p w14:paraId="2D141005" w14:textId="049D550B" w:rsidR="00812985" w:rsidRDefault="004574DA" w:rsidP="004574DA">
      <w:pPr>
        <w:jc w:val="both"/>
      </w:pPr>
      <w:r>
        <w:t>Un aspect notable des Svalbard est l'interaction unique entre la glace de mer et les climats locaux. Les étendues de glace de mer en hiver exercent une influence significative sur les températures locales.</w:t>
      </w:r>
      <w:r w:rsidR="00812985">
        <w:t xml:space="preserve"> En effet, la glace a une surface très réfléchissante, ce qui signifie qu'elle renvoie une grande partie du rayonnement solaire dans l'espace. C'est ce qu'on appelle l'albédo élevé de la glace. Cette réflexion aide à maintenir les températures de surface plus fraîches dans les régions polaires. La glace absorbe aussi la chaleur de l'atmosphère pendant les périodes chaudes et la libère pendant les périodes froides, agissant comme un stabilisateur thermique. </w:t>
      </w:r>
    </w:p>
    <w:p w14:paraId="22D435D4" w14:textId="77777777" w:rsidR="009A0929" w:rsidRDefault="009A0929" w:rsidP="004574DA">
      <w:pPr>
        <w:jc w:val="both"/>
      </w:pPr>
    </w:p>
    <w:p w14:paraId="3966FD68" w14:textId="316F49FD" w:rsidR="00DF2E82" w:rsidRDefault="004574DA" w:rsidP="004574DA">
      <w:pPr>
        <w:jc w:val="both"/>
      </w:pPr>
      <w:r>
        <w:t>En raison de ses conditions climatiques extrêmes, les zones polaires représentent des défis uniques en matière d'infrastructures, de logistique et de communication. La compréhension du climat et de ses impacts est essentielle pour la vie et les activités dans ces zones. La section suivante</w:t>
      </w:r>
      <w:r w:rsidRPr="00DD2C62">
        <w:t xml:space="preserve"> </w:t>
      </w:r>
      <w:r>
        <w:t>met en évidence</w:t>
      </w:r>
      <w:r w:rsidRPr="00DD2C62">
        <w:t xml:space="preserve"> de quelle manière ces conditions </w:t>
      </w:r>
      <w:r w:rsidR="009A0929">
        <w:t xml:space="preserve">climatiques </w:t>
      </w:r>
      <w:r w:rsidRPr="00DD2C62">
        <w:t>pourraient influencer la propagation des ondes radio dans la troposphère</w:t>
      </w:r>
      <w:r>
        <w:t xml:space="preserve"> polaire</w:t>
      </w:r>
      <w:r w:rsidRPr="00DD2C62">
        <w:t>.</w:t>
      </w:r>
    </w:p>
    <w:p w14:paraId="4C655633" w14:textId="7FE5847B" w:rsidR="00A62FDF" w:rsidRPr="00904C29" w:rsidRDefault="00A62FDF" w:rsidP="00904C29"/>
    <w:p w14:paraId="66A8B013" w14:textId="3E071E8B" w:rsidR="006505E6" w:rsidRDefault="00904C29" w:rsidP="00106A15">
      <w:pPr>
        <w:pStyle w:val="Titre2"/>
        <w:numPr>
          <w:ilvl w:val="1"/>
          <w:numId w:val="1"/>
        </w:numPr>
        <w:jc w:val="both"/>
      </w:pPr>
      <w:r>
        <w:t xml:space="preserve">Impact de la troposphère </w:t>
      </w:r>
      <w:r w:rsidR="00106A15">
        <w:t xml:space="preserve">des régions hautes latitudes </w:t>
      </w:r>
      <w:r>
        <w:t xml:space="preserve">sur </w:t>
      </w:r>
      <w:r w:rsidR="00FA5B1C">
        <w:t>la propagation</w:t>
      </w:r>
      <w:r>
        <w:t xml:space="preserve"> des ondes électromagnétiques</w:t>
      </w:r>
      <w:r w:rsidR="00FA5B1C">
        <w:t xml:space="preserve"> </w:t>
      </w:r>
    </w:p>
    <w:p w14:paraId="7077C907" w14:textId="23186F1A" w:rsidR="006505E6" w:rsidRDefault="006505E6" w:rsidP="006505E6"/>
    <w:p w14:paraId="735C17F3" w14:textId="5DE5D42F" w:rsidR="009A0929" w:rsidRDefault="009A0929" w:rsidP="009A0929">
      <w:pPr>
        <w:jc w:val="both"/>
      </w:pPr>
      <w:r>
        <w:lastRenderedPageBreak/>
        <w:t>Comme mentionné dans la Section 1.2, la troposphère a un impact significatif sur la propagation des ondes radio, même pour les climats polaires. En effet, les caractéristiques uniques de ces régions ont également des effets marqués sur la propagation des signaux radio. Dans cette section, nous allons examiner les particularités du climat polaire qui sont responsables des altérations subies par les signaux radioélectriques.</w:t>
      </w:r>
    </w:p>
    <w:p w14:paraId="2F0FB67F" w14:textId="1E305612" w:rsidR="009A0929" w:rsidRDefault="000970E8" w:rsidP="009A0929">
      <w:pPr>
        <w:jc w:val="both"/>
      </w:pPr>
      <w:r>
        <w:rPr>
          <w:noProof/>
          <w:lang w:val="en-US"/>
        </w:rPr>
        <mc:AlternateContent>
          <mc:Choice Requires="wps">
            <w:drawing>
              <wp:anchor distT="0" distB="0" distL="114300" distR="114300" simplePos="0" relativeHeight="251679744" behindDoc="0" locked="0" layoutInCell="1" allowOverlap="1" wp14:anchorId="24DAA3E1" wp14:editId="495FDAEA">
                <wp:simplePos x="0" y="0"/>
                <wp:positionH relativeFrom="margin">
                  <wp:align>center</wp:align>
                </wp:positionH>
                <wp:positionV relativeFrom="paragraph">
                  <wp:posOffset>3275479</wp:posOffset>
                </wp:positionV>
                <wp:extent cx="4584065" cy="299720"/>
                <wp:effectExtent l="0" t="0" r="6985" b="5080"/>
                <wp:wrapTopAndBottom/>
                <wp:docPr id="10" name="Zone de texte 10"/>
                <wp:cNvGraphicFramePr/>
                <a:graphic xmlns:a="http://schemas.openxmlformats.org/drawingml/2006/main">
                  <a:graphicData uri="http://schemas.microsoft.com/office/word/2010/wordprocessingShape">
                    <wps:wsp>
                      <wps:cNvSpPr txBox="1"/>
                      <wps:spPr>
                        <a:xfrm>
                          <a:off x="0" y="0"/>
                          <a:ext cx="4584065" cy="299720"/>
                        </a:xfrm>
                        <a:prstGeom prst="rect">
                          <a:avLst/>
                        </a:prstGeom>
                        <a:solidFill>
                          <a:prstClr val="white"/>
                        </a:solidFill>
                        <a:ln>
                          <a:noFill/>
                        </a:ln>
                      </wps:spPr>
                      <wps:txbx>
                        <w:txbxContent>
                          <w:p w14:paraId="1C667D90" w14:textId="58A67C38" w:rsidR="00FC7555" w:rsidRPr="00600B69" w:rsidRDefault="00FC7555" w:rsidP="009A0929">
                            <w:pPr>
                              <w:pStyle w:val="Lgende"/>
                              <w:jc w:val="center"/>
                              <w:rPr>
                                <w:noProof/>
                              </w:rPr>
                            </w:pPr>
                            <w:r>
                              <w:t>Figure 1.6 – Température moyenne et total des précipitations moyennes aux Svalbard, Norvège, pour la période de 1950 à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AA3E1" id="Zone de texte 10" o:spid="_x0000_s1031" type="#_x0000_t202" style="position:absolute;left:0;text-align:left;margin-left:0;margin-top:257.9pt;width:360.95pt;height:23.6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" stroked="f">
                <v:textbox inset="0,0,0,0">
                  <w:txbxContent>
                    <w:p w14:paraId="1C667D90" w14:textId="58A67C38" w:rsidR="00FC7555" w:rsidRPr="00600B69" w:rsidRDefault="00FC7555" w:rsidP="009A0929">
                      <w:pPr>
                        <w:pStyle w:val="Lgende"/>
                        <w:jc w:val="center"/>
                        <w:rPr>
                          <w:noProof/>
                        </w:rPr>
                      </w:pPr>
                      <w:r>
                        <w:t>Figure 1.6 – Température moyenne et total des précipitations moyennes aux Svalbard, Norvège, pour la période de 1950 à 2022.</w:t>
                      </w:r>
                    </w:p>
                  </w:txbxContent>
                </v:textbox>
                <w10:wrap type="topAndBottom" anchorx="margin"/>
              </v:shape>
            </w:pict>
          </mc:Fallback>
        </mc:AlternateContent>
      </w:r>
      <w:r>
        <w:rPr>
          <w:noProof/>
          <w:lang w:val="en-US"/>
        </w:rPr>
        <w:drawing>
          <wp:anchor distT="0" distB="0" distL="114300" distR="114300" simplePos="0" relativeHeight="251678720" behindDoc="0" locked="0" layoutInCell="1" allowOverlap="1" wp14:anchorId="5AEDEEF0" wp14:editId="263A33B6">
            <wp:simplePos x="0" y="0"/>
            <wp:positionH relativeFrom="margin">
              <wp:align>center</wp:align>
            </wp:positionH>
            <wp:positionV relativeFrom="paragraph">
              <wp:posOffset>450215</wp:posOffset>
            </wp:positionV>
            <wp:extent cx="4584065" cy="2782570"/>
            <wp:effectExtent l="0" t="0" r="6985" b="17780"/>
            <wp:wrapTopAndBottom/>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9A0929">
        <w:t xml:space="preserve">Les climats polaires, qu'ils soient </w:t>
      </w:r>
      <w:r>
        <w:t>ET, EF ou EH</w:t>
      </w:r>
      <w:r w:rsidR="009A0929">
        <w:t>, se distinguent par leurs températures très froides et leurs conditions météorologiques extrêmes</w:t>
      </w:r>
      <w:r w:rsidR="00F81819">
        <w:t xml:space="preserve"> (voir figure 1.6</w:t>
      </w:r>
      <w:r w:rsidR="009A0929">
        <w:t>)</w:t>
      </w:r>
      <w:r>
        <w:t>. L’une des caractéristiques majeures des régions hautes latitudes est la large variété de</w:t>
      </w:r>
      <w:r w:rsidR="009A0929">
        <w:t xml:space="preserve"> précipitations diverses : pluie, neige sèche, neige humide...</w:t>
      </w:r>
      <w:r>
        <w:t xml:space="preserve"> Tous ces hydrométéores couplés à l’oxygène, la vapeur d’eau et les nuages sont les principaux facteurs de la dégradation des conditions de propagation des ondes électromagnétique dans ces régions.</w:t>
      </w:r>
    </w:p>
    <w:p w14:paraId="2F2D1385" w14:textId="7B273170" w:rsidR="009A0929" w:rsidRDefault="00FB7AD4" w:rsidP="009A0929">
      <w:pPr>
        <w:jc w:val="both"/>
      </w:pPr>
      <w:r>
        <w:t>Les températures froides peuvent aussi</w:t>
      </w:r>
      <w:r w:rsidR="009A0929">
        <w:t xml:space="preserve"> influencer la réfraction des ondes radio, modifiant leur trajectoire et leur propagation. </w:t>
      </w:r>
      <w:r>
        <w:t xml:space="preserve">En effet, la loi de Gladstone-Dale </w:t>
      </w:r>
      <w:r>
        <w:fldChar w:fldCharType="begin"/>
      </w:r>
      <w:r>
        <w:instrText xml:space="preserve"> ADDIN ZOTERO_ITEM CSL_CITATION {"citationID":"4VOTdR22","properties":{"formattedCitation":"(Gladstone &amp; Dale, 1997)","plainCitation":"(Gladstone &amp; Dale, 1997)","noteIndex":0},"citationItems":[{"id":220,"uris":["http://zotero.org/users/local/n6fh7qN8/items/Y63DP7P7"],"itemData":{"id":220,"type":"article-journal","abstract":"In a previous paper “On the Influence of Temperature on the Refraction of Light,” we started some inquiries which have been since pursued, and we now lay before the Royal Society some of the later results. The same apparatus has been employed, with a hollow prism of 61° 0' angle, and the method of observation has been essentially the same. But experience has led to some modifications, the most important of which is this: instead of attempting to take the angular measurements at certain foredetermined temperatures, as 10° C., 20° C., they were taken first at the temperature of the room, whatever that might be, and then at such other temperatures as seemed to offer the most trustworthy results. This involved more calculation, but it still saved time, and secured greater accuracy. The plan of measuring to 10\" was abandoned as a useless nicety; but, as a rule, two or more observations of each fixed line at each temperature were taken, and if they differed slightly the mean was adopted, but if the discrepancy amounted to 2' or 3' the observation was repeated. The average of these observations of the lines A, D, and H at different temperatures gave the refractive indices which are placed together in the Table that constitutes Appendix I., and they afford the data for nearly all the comparisons about to be instituted. Appendix II. contains the mean determinations made of the refractive indices of some of these liquids for a larger number of the lines at the temperature of the room. To it have been added some observations on other liquids, and deter­minations published in our former papers, so as to render it as complete as possible for any who may desire to investigate the irrationality of the spectrum, or the truth of the formulae of Cauchy.","container-title":"Philosophical Transactions of the Royal Society of London","DOI":"10.1098/rstl.1863.0014","note":"publisher: Royal Society","page":"317-343","source":"royalsocietypublishing.org (Atypon)","title":"XIV. Researches on the refraction, dispersion, and sensitiveness of liquids","volume":"153","author":[{"family":"Gladstone","given":"John Hall"},{"family":"Dale","given":"T. P."}],"issued":{"date-parts":[["1997",1]]}}}],"schema":"https://github.com/citation-style-language/schema/raw/master/csl-citation.json"} </w:instrText>
      </w:r>
      <w:r>
        <w:fldChar w:fldCharType="separate"/>
      </w:r>
      <w:r w:rsidRPr="00FB7AD4">
        <w:rPr>
          <w:rFonts w:ascii="Calibri" w:hAnsi="Calibri" w:cs="Calibri"/>
        </w:rPr>
        <w:t>(Gladstone &amp; Dale, 1997)</w:t>
      </w:r>
      <w:r>
        <w:fldChar w:fldCharType="end"/>
      </w:r>
      <w:r w:rsidR="00F81819">
        <w:t xml:space="preserve"> lie directement l’indice de réfraction d’un milieu à la masse volumique du gaz le composant. Ainsi, dans la troposphère, l’indice de réfraction de l’air augmente quand la température </w:t>
      </w:r>
      <w:proofErr w:type="spellStart"/>
      <w:proofErr w:type="gramStart"/>
      <w:r w:rsidR="00F81819">
        <w:t>baisse.</w:t>
      </w:r>
      <w:r w:rsidR="009A0929">
        <w:t>Les</w:t>
      </w:r>
      <w:proofErr w:type="spellEnd"/>
      <w:proofErr w:type="gramEnd"/>
      <w:r w:rsidR="009A0929">
        <w:t xml:space="preserve"> zones climatiques ET sont également sujettes à des conditions météorologiques changeantes, y compris des variations saisonnières marquées. Les étés polaires sont caractérisés par des journées prolongées où le soleil ne se couche presque pas, tandis que les hivers sont marqués par des nuits polaires étendues avec peu de lumière solaire. Ces variations saisonnières extrêmes ont un impact direct sur la propagation des ondes radio, car elles influencent les conditions de réfraction et de propagation de l'atmosphère ainsi que la nature des hydrométéores s’y trouvant</w:t>
      </w:r>
      <w:r w:rsidR="00F81819">
        <w:t>.</w:t>
      </w:r>
    </w:p>
    <w:p w14:paraId="33D9074C" w14:textId="25675E32" w:rsidR="007C6AC6" w:rsidRDefault="009A0929" w:rsidP="009A0929">
      <w:pPr>
        <w:jc w:val="both"/>
      </w:pPr>
      <w:r>
        <w:t>Enfin, en</w:t>
      </w:r>
      <w:r w:rsidRPr="00EB780B">
        <w:t xml:space="preserve"> raison de l'orbite terrestre et des contraintes géométriques associées, </w:t>
      </w:r>
      <w:r>
        <w:t>les communications</w:t>
      </w:r>
      <w:r w:rsidR="00F81819">
        <w:t xml:space="preserve"> vers les</w:t>
      </w:r>
      <w:r>
        <w:t xml:space="preserve"> satellite</w:t>
      </w:r>
      <w:r w:rsidR="00F81819">
        <w:t>s GEO</w:t>
      </w:r>
      <w:r>
        <w:t xml:space="preserve"> en zones polaires se font à des élévations très faibles (quelques degrés tout au plus)</w:t>
      </w:r>
      <w:r w:rsidRPr="00EB780B">
        <w:t xml:space="preserve">. Cette </w:t>
      </w:r>
      <w:r>
        <w:t>élévation</w:t>
      </w:r>
      <w:r w:rsidRPr="00EB780B">
        <w:t xml:space="preserve"> plus basse </w:t>
      </w:r>
      <w:r w:rsidR="007C6AC6">
        <w:t>impacte de trois façon distinctes la propagation des signaux. Premièrement ceux-ci</w:t>
      </w:r>
      <w:r w:rsidRPr="00EB780B">
        <w:t xml:space="preserve"> doivent traverser une plus grande partie de l'atmosphère terrestre avant d'atteindre leur destination, comparativement à des latitudes </w:t>
      </w:r>
      <w:r>
        <w:t>moins</w:t>
      </w:r>
      <w:r w:rsidRPr="00EB780B">
        <w:t xml:space="preserve"> élevées</w:t>
      </w:r>
      <w:r w:rsidR="007C6AC6">
        <w:t xml:space="preserve"> (voir figure 1.7)</w:t>
      </w:r>
      <w:r w:rsidRPr="00EB780B">
        <w:t>.</w:t>
      </w:r>
      <w:r w:rsidR="007C6AC6">
        <w:t xml:space="preserve"> </w:t>
      </w:r>
      <w:r w:rsidR="007C6AC6" w:rsidRPr="00EB780B">
        <w:t xml:space="preserve">Cette augmentation de la distance de propagation entraîne une atténuation accrue des signaux radio, car ils interagissent davantage avec les diverses composantes de l'atmosphère, telles que l'oxygène, la vapeur d'eau </w:t>
      </w:r>
      <w:r w:rsidR="007C6AC6">
        <w:t>et les hydrométéores</w:t>
      </w:r>
      <w:r w:rsidR="007C6AC6" w:rsidRPr="00EB780B">
        <w:t>.</w:t>
      </w:r>
      <w:r w:rsidR="00A546B1">
        <w:t xml:space="preserve"> </w:t>
      </w:r>
      <w:r w:rsidR="007C6AC6">
        <w:t xml:space="preserve">Deuxièmement, une augmentation du trajet de ces signaux </w:t>
      </w:r>
      <w:r w:rsidR="00106A15">
        <w:rPr>
          <w:noProof/>
          <w:lang w:val="en-US"/>
        </w:rPr>
        <w:lastRenderedPageBreak/>
        <mc:AlternateContent>
          <mc:Choice Requires="wps">
            <w:drawing>
              <wp:anchor distT="0" distB="0" distL="114300" distR="114300" simplePos="0" relativeHeight="251683840" behindDoc="0" locked="0" layoutInCell="1" allowOverlap="1" wp14:anchorId="09957B3C" wp14:editId="7C7373DC">
                <wp:simplePos x="0" y="0"/>
                <wp:positionH relativeFrom="column">
                  <wp:posOffset>375285</wp:posOffset>
                </wp:positionH>
                <wp:positionV relativeFrom="paragraph">
                  <wp:posOffset>2481580</wp:posOffset>
                </wp:positionV>
                <wp:extent cx="501078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5A9FD4D" w14:textId="230F5246" w:rsidR="00FC7555" w:rsidRPr="00B54063" w:rsidRDefault="00FC7555" w:rsidP="00106A15">
                            <w:pPr>
                              <w:pStyle w:val="Lgende"/>
                              <w:jc w:val="center"/>
                            </w:pPr>
                            <w:r>
                              <w:t>Figure 1.7 - Mise en évidence de l’augmentation de la distance parcourue par les ondes dans l’atmosphère pour des communications aux hautes latitudes avec des satellites GEO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57B3C" id="Zone de texte 17" o:spid="_x0000_s1032" type="#_x0000_t202" style="position:absolute;left:0;text-align:left;margin-left:29.55pt;margin-top:195.4pt;width:394.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" stroked="f">
                <v:textbox style="mso-fit-shape-to-text:t" inset="0,0,0,0">
                  <w:txbxContent>
                    <w:p w14:paraId="45A9FD4D" w14:textId="230F5246" w:rsidR="00FC7555" w:rsidRPr="00B54063" w:rsidRDefault="00FC7555" w:rsidP="00106A15">
                      <w:pPr>
                        <w:pStyle w:val="Lgende"/>
                        <w:jc w:val="center"/>
                      </w:pPr>
                      <w:r>
                        <w:t>Figure 1.7 - Mise en évidence de l’augmentation de la distance parcourue par les ondes dans l’atmosphère pour des communications aux hautes latitudes avec des satellites GEO</w:t>
                      </w:r>
                    </w:p>
                  </w:txbxContent>
                </v:textbox>
                <w10:wrap type="topAndBottom"/>
              </v:shape>
            </w:pict>
          </mc:Fallback>
        </mc:AlternateContent>
      </w:r>
      <w:r w:rsidR="00106A15">
        <w:rPr>
          <w:noProof/>
          <w:lang w:val="en-US"/>
        </w:rPr>
        <w:drawing>
          <wp:anchor distT="0" distB="0" distL="114300" distR="114300" simplePos="0" relativeHeight="251681792" behindDoc="0" locked="0" layoutInCell="1" allowOverlap="1" wp14:anchorId="033EC000" wp14:editId="3F43B08B">
            <wp:simplePos x="0" y="0"/>
            <wp:positionH relativeFrom="margin">
              <wp:align>center</wp:align>
            </wp:positionH>
            <wp:positionV relativeFrom="paragraph">
              <wp:posOffset>224</wp:posOffset>
            </wp:positionV>
            <wp:extent cx="5010785" cy="242443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785" cy="2424430"/>
                    </a:xfrm>
                    <a:prstGeom prst="rect">
                      <a:avLst/>
                    </a:prstGeom>
                  </pic:spPr>
                </pic:pic>
              </a:graphicData>
            </a:graphic>
          </wp:anchor>
        </w:drawing>
      </w:r>
      <w:r w:rsidR="007C6AC6">
        <w:t xml:space="preserve">implique plus de réfraction. Enfin, comme expliqué dans la section 1.2.2, la diminution de l’élévation des liaisons entraine une augmentation de la scintillation sur les signaux. </w:t>
      </w:r>
    </w:p>
    <w:p w14:paraId="68F5A809" w14:textId="1DD40D57" w:rsidR="00A546B1" w:rsidRDefault="00A546B1" w:rsidP="009A0929">
      <w:pPr>
        <w:jc w:val="both"/>
      </w:pPr>
    </w:p>
    <w:p w14:paraId="2BDE69E9" w14:textId="6F107B34" w:rsidR="00904C29" w:rsidRDefault="009A0929" w:rsidP="00106A15">
      <w:pPr>
        <w:jc w:val="both"/>
      </w:pPr>
      <w:r w:rsidRPr="00EB780B">
        <w:t>Par conséquent, les liaisons de communication par satellite en zones polaires peuvent être plus sensibles à l'affaiblissement des signaux, ce qui peut avoir un impact sur la qualité et la fiabilité des communications. Les opérateurs de satellites et les concepteurs de systèmes de communication doivent prendre en compte ces facteurs spécifiques aux régions polaires lors de la planification et de la mise en œuvre de réseaux de communication satellitaire.</w:t>
      </w:r>
      <w:r>
        <w:t xml:space="preserve"> </w:t>
      </w:r>
      <w:r w:rsidRPr="00CA267B">
        <w:t>Après avoir examiné comment l</w:t>
      </w:r>
      <w:r>
        <w:t>es caractéristiques de l</w:t>
      </w:r>
      <w:r w:rsidRPr="00CA267B">
        <w:t xml:space="preserve">'atmosphère </w:t>
      </w:r>
      <w:r>
        <w:t xml:space="preserve">polaire </w:t>
      </w:r>
      <w:r w:rsidRPr="00CA267B">
        <w:t>peut influencer la propagation des ondes radio</w:t>
      </w:r>
      <w:r>
        <w:t>électrique</w:t>
      </w:r>
      <w:r w:rsidRPr="00CA267B">
        <w:t>, il est désormais approprié d'examiner les divers modèles existants dans la littérature afin d'évaluer quantitativement leur</w:t>
      </w:r>
      <w:r>
        <w:t>s</w:t>
      </w:r>
      <w:r w:rsidRPr="00CA267B">
        <w:t xml:space="preserve"> impact</w:t>
      </w:r>
      <w:r>
        <w:t>s</w:t>
      </w:r>
      <w:r w:rsidRPr="00CA267B">
        <w:t>.</w:t>
      </w:r>
    </w:p>
    <w:p w14:paraId="0E91C7FE" w14:textId="77777777" w:rsidR="00904C29" w:rsidRDefault="00904C29" w:rsidP="008D13ED"/>
    <w:p w14:paraId="09B22588" w14:textId="0736B950" w:rsidR="008D13ED" w:rsidRDefault="008D13ED" w:rsidP="008D13ED">
      <w:pPr>
        <w:pStyle w:val="Titre1"/>
        <w:numPr>
          <w:ilvl w:val="0"/>
          <w:numId w:val="1"/>
        </w:numPr>
      </w:pPr>
      <w:r>
        <w:t>Modèle</w:t>
      </w:r>
      <w:r w:rsidR="00106A15">
        <w:t>s</w:t>
      </w:r>
      <w:r>
        <w:t xml:space="preserve"> d’atténuation</w:t>
      </w:r>
      <w:r w:rsidR="00106A15">
        <w:t>s</w:t>
      </w:r>
      <w:r>
        <w:t xml:space="preserve"> troposphériques </w:t>
      </w:r>
      <w:r w:rsidR="006505E6">
        <w:t>ITU</w:t>
      </w:r>
      <w:r w:rsidR="00A12EEB">
        <w:t>-R</w:t>
      </w:r>
    </w:p>
    <w:p w14:paraId="2B601DD1" w14:textId="216494EC" w:rsidR="00106A15" w:rsidRDefault="00106A15" w:rsidP="00106A15"/>
    <w:p w14:paraId="2AB1EBD7" w14:textId="2CB848FD" w:rsidR="00106A15" w:rsidRDefault="00A12EEB" w:rsidP="00106A15">
      <w:pPr>
        <w:jc w:val="both"/>
      </w:pPr>
      <w:r w:rsidRPr="00A12EEB">
        <w:t xml:space="preserve">Les Recommandations UIT-R, émises par le Secteur des Radiocommunications de l'UIT, sont des normes techniques internationales couvrant divers aspects des services hertziens, </w:t>
      </w:r>
      <w:r>
        <w:t>comprenant</w:t>
      </w:r>
      <w:r w:rsidRPr="00A12EEB">
        <w:t xml:space="preserve"> </w:t>
      </w:r>
      <w:r>
        <w:t xml:space="preserve">entre autres </w:t>
      </w:r>
      <w:r w:rsidRPr="00A12EEB">
        <w:t xml:space="preserve">les nouvelles technologies mobiles, la gestion du spectre des radiofréquences et des orbites de satellite, </w:t>
      </w:r>
      <w:r>
        <w:t>et</w:t>
      </w:r>
      <w:r w:rsidRPr="00A12EEB">
        <w:t xml:space="preserve"> la propagation des ondes radioélectriques</w:t>
      </w:r>
      <w:r>
        <w:t>.</w:t>
      </w:r>
      <w:r w:rsidRPr="00A12EEB">
        <w:t xml:space="preserve"> </w:t>
      </w:r>
      <w:r>
        <w:t>C</w:t>
      </w:r>
      <w:r w:rsidRPr="00A12EEB">
        <w:t>es recommandations sont largement respectées et suivies à l'échelle mondiale.</w:t>
      </w:r>
      <w:r>
        <w:t xml:space="preserve"> </w:t>
      </w:r>
      <w:r w:rsidR="00106A15" w:rsidRPr="00D908C1">
        <w:t xml:space="preserve">Cette partie propose un examen des divers modèles d'affaiblissement répertoriés </w:t>
      </w:r>
      <w:r>
        <w:t>dans les recommandation ITU-R</w:t>
      </w:r>
      <w:r w:rsidR="00106A15" w:rsidRPr="00D908C1">
        <w:t>, en se concentrant sur l'affaiblissement causé par l'oxygène</w:t>
      </w:r>
      <w:r>
        <w:t xml:space="preserve"> et</w:t>
      </w:r>
      <w:r w:rsidR="00106A15">
        <w:t xml:space="preserve"> la vapeur d'eau</w:t>
      </w:r>
      <w:r>
        <w:t xml:space="preserve"> (section 3.1)</w:t>
      </w:r>
      <w:r w:rsidR="00106A15">
        <w:t xml:space="preserve">, les nuages </w:t>
      </w:r>
      <w:r>
        <w:t xml:space="preserve">(section 3.2) </w:t>
      </w:r>
      <w:r w:rsidR="00106A15">
        <w:t>et les différentes variétés d’hy</w:t>
      </w:r>
      <w:r>
        <w:t xml:space="preserve">drométéores </w:t>
      </w:r>
      <w:r w:rsidR="00106A15">
        <w:t xml:space="preserve">se trouvant dans </w:t>
      </w:r>
      <w:r>
        <w:t>les régions polaires (section 3.3)</w:t>
      </w:r>
      <w:r w:rsidR="00106A15" w:rsidRPr="00D908C1">
        <w:t xml:space="preserve">. De plus, une analyse approfondie de leurs limites en ce qui concerne les climats </w:t>
      </w:r>
      <w:r w:rsidR="00106A15">
        <w:t xml:space="preserve">des hautes latitudes </w:t>
      </w:r>
      <w:r w:rsidR="00106A15" w:rsidRPr="00D908C1">
        <w:t>est également fournie.</w:t>
      </w:r>
    </w:p>
    <w:p w14:paraId="34D4ECA6" w14:textId="77777777" w:rsidR="00A12EEB" w:rsidRDefault="00A12EEB" w:rsidP="00106A15">
      <w:pPr>
        <w:jc w:val="both"/>
      </w:pPr>
    </w:p>
    <w:p w14:paraId="1256861C" w14:textId="678774DE" w:rsidR="006505E6" w:rsidRDefault="006505E6" w:rsidP="006505E6">
      <w:pPr>
        <w:pStyle w:val="Titre2"/>
        <w:numPr>
          <w:ilvl w:val="1"/>
          <w:numId w:val="1"/>
        </w:numPr>
      </w:pPr>
      <w:r>
        <w:t xml:space="preserve">Modèle </w:t>
      </w:r>
      <w:r w:rsidR="00A12EEB">
        <w:t xml:space="preserve">ITU-R </w:t>
      </w:r>
      <w:r>
        <w:t>d’atténuation due au gaz atmosphériques</w:t>
      </w:r>
    </w:p>
    <w:p w14:paraId="529B5D50" w14:textId="2D5798C9" w:rsidR="00A12EEB" w:rsidRDefault="00A12EEB" w:rsidP="00A12EEB"/>
    <w:p w14:paraId="046C4E7A" w14:textId="2E0066DA" w:rsidR="00BA23C7" w:rsidRDefault="00BA23C7" w:rsidP="00BA23C7">
      <w:pPr>
        <w:jc w:val="both"/>
      </w:pPr>
      <w:r>
        <w:lastRenderedPageBreak/>
        <w:t xml:space="preserve">À la bande Ka, et aux fréquences en dehors de sa bande d’absorption (de 40 à 80GHz) l'atténuation due à l'oxygène est très faible, surtout en comparaison avec les atténuations causées par les nuages et les hydrométéores, tel que présenté dans les sections suivantes et illustré dans la figure 1.2. En ce qui concerne l'atténuation due à la vapeur d'eau, elle est, pour les zones polaires l’un des principaux facteurs de dégradation des communications, en particulier à proximité de la ligne d'absorption de la vapeur d'eau. </w:t>
      </w:r>
    </w:p>
    <w:p w14:paraId="4A0B608E" w14:textId="64B7D471" w:rsidR="00BA23C7" w:rsidRDefault="00BA23C7" w:rsidP="00BA23C7">
      <w:pPr>
        <w:spacing w:after="0"/>
        <w:jc w:val="both"/>
      </w:pPr>
      <w:r>
        <w:t xml:space="preserve">Une méthode pour prédire l’atténuation dues aux gaz atmosphérique le long d’une liaison de communication est de déterminer l’atténuation spécifique des gaz atmosphérique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et d’intégrer celle-ci le long du trajet de l’onde</w:t>
      </w:r>
      <w:r>
        <w:t xml:space="preserve">. Cette atténuation spécifique peut être </w:t>
      </w:r>
      <w:r w:rsidRPr="00B55A82">
        <w:t xml:space="preserve">calculée </w:t>
      </w:r>
      <w:r w:rsidR="0053139B">
        <w:t>raie</w:t>
      </w:r>
      <w:r w:rsidRPr="00B55A82">
        <w:t xml:space="preserve"> par </w:t>
      </w:r>
      <w:r w:rsidR="0053139B">
        <w:t>raie</w:t>
      </w:r>
      <w:r w:rsidRPr="00B55A82">
        <w:t xml:space="preserve"> </w:t>
      </w:r>
      <w:r w:rsidR="0053139B">
        <w:fldChar w:fldCharType="begin"/>
      </w:r>
      <w:r w:rsidR="0053139B">
        <w:instrText xml:space="preserve"> ADDIN ZOTERO_ITEM CSL_CITATION {"citationID":"QjxN3KYn","properties":{"formattedCitation":"(Liebe et al., 1991)","plainCitation":"(Liebe et al., 1991)","noteIndex":0},"citationItems":[{"id":49,"uris":["http://zotero.org/users/local/n6fh7qN8/items/UGFK5C73"],"itemData":{"id":49,"type":"article-journal","container-title":"International Journal of Infrared and Millimeter Waves","note":"publisher: Springer","page":"659–675","source":"Google Scholar","title":"A model for the complex permittivity of water at frequencies below 1 THz","volume":"12","author":[{"family":"Liebe","given":"Hans J."},{"family":"Hufford","given":"George A."},{"family":"Manabe","given":"Takeshi"}],"issued":{"date-parts":[["1991"]]}}}],"schema":"https://github.com/citation-style-language/schema/raw/master/csl-citation.json"} </w:instrText>
      </w:r>
      <w:r w:rsidR="0053139B">
        <w:fldChar w:fldCharType="separate"/>
      </w:r>
      <w:r w:rsidR="0053139B" w:rsidRPr="0053139B">
        <w:rPr>
          <w:rFonts w:ascii="Calibri" w:hAnsi="Calibri" w:cs="Calibri"/>
        </w:rPr>
        <w:t>(Liebe et al., 1991)</w:t>
      </w:r>
      <w:r w:rsidR="0053139B">
        <w:fldChar w:fldCharType="end"/>
      </w:r>
      <w:r w:rsidR="0053139B">
        <w:t xml:space="preserve"> </w:t>
      </w:r>
      <w:r w:rsidRPr="00B55A82">
        <w:t>en utilisant la Section 1 de l'Annexe 1 de la Recommandation ITU-R P.676-12. Selon la Recommandation, l'atténuation spécifique due aux gaz atmosphériques peut être calculée en n'utilisant que la pression</w:t>
      </w:r>
      <w:r>
        <w:t xml:space="preserve"> </w:t>
      </w:r>
      <m:oMath>
        <m:r>
          <w:rPr>
            <w:rFonts w:ascii="Cambria Math" w:hAnsi="Cambria Math"/>
          </w:rPr>
          <m:t>P</m:t>
        </m:r>
      </m:oMath>
      <w:r w:rsidRPr="00B55A82">
        <w:t>, la température</w:t>
      </w:r>
      <w:r>
        <w:t xml:space="preserve"> </w:t>
      </w:r>
      <m:oMath>
        <m:r>
          <w:rPr>
            <w:rFonts w:ascii="Cambria Math" w:hAnsi="Cambria Math"/>
          </w:rPr>
          <m:t>T</m:t>
        </m:r>
      </m:oMath>
      <w:r w:rsidRPr="00B55A82">
        <w:t xml:space="preserve"> et l'humidité </w:t>
      </w:r>
      <m:oMath>
        <m:r>
          <w:rPr>
            <w:rFonts w:ascii="Cambria Math" w:hAnsi="Cambria Math"/>
          </w:rPr>
          <m:t>H</m:t>
        </m:r>
      </m:oMath>
      <w:r>
        <w:rPr>
          <w:rFonts w:eastAsiaTheme="minorEastAsia"/>
        </w:rPr>
        <w:t xml:space="preserve"> </w:t>
      </w:r>
      <w:r w:rsidRPr="00B55A82">
        <w:t xml:space="preserve">de la cellule de la grille. La méthode permet de sommer les </w:t>
      </w:r>
      <w:r>
        <w:t>raies</w:t>
      </w:r>
      <w:r w:rsidRPr="00B55A82">
        <w:t xml:space="preserve"> d'absorption individuelles à la fois de l'oxygène et de la vapeur d'eau avec </w:t>
      </w:r>
      <w:r>
        <w:t>des</w:t>
      </w:r>
      <w:r w:rsidRPr="00B55A82">
        <w:t xml:space="preserve"> facteurs d'ajustement pour le spectre non résonant de Debye de l'oxygène en dessous de 10 GHz et pour l'atténuation induite par la pression de l'azote au-dessus de 100 GHz. L'atténuation spécifique due aux gaz atmosphériques peut ensuite être calculée en additionnant l'atténuation spécifique à la fois de l'oxygène </w:t>
      </w:r>
      <m:oMath>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oMath>
      <w:r w:rsidRPr="00B55A82">
        <w:t xml:space="preserve">et de la vapeur d'eau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rPr>
          <w:rFonts w:eastAsiaTheme="minorEastAsia"/>
        </w:rPr>
        <w:t xml:space="preserve"> </w:t>
      </w:r>
      <w:r w:rsidRPr="00B55A82">
        <w:t>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7AC0E5EF" w14:textId="77777777" w:rsidTr="00CE6F3D">
        <w:trPr>
          <w:trHeight w:val="624"/>
        </w:trPr>
        <w:tc>
          <w:tcPr>
            <w:tcW w:w="740" w:type="pct"/>
            <w:vAlign w:val="center"/>
          </w:tcPr>
          <w:p w14:paraId="3184174E" w14:textId="77777777" w:rsidR="00BA23C7" w:rsidRDefault="00BA23C7" w:rsidP="00CE6F3D">
            <w:pPr>
              <w:jc w:val="center"/>
            </w:pPr>
          </w:p>
        </w:tc>
        <w:tc>
          <w:tcPr>
            <w:tcW w:w="3521" w:type="pct"/>
            <w:vAlign w:val="center"/>
          </w:tcPr>
          <w:p w14:paraId="337EDE82" w14:textId="77777777" w:rsidR="00BA23C7" w:rsidRDefault="006916B9" w:rsidP="00CE6F3D">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ga</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wv</m:t>
                    </m:r>
                  </m:sub>
                </m:sSub>
                <m:r>
                  <w:rPr>
                    <w:rFonts w:ascii="Cambria Math" w:hAnsi="Cambria Math"/>
                  </w:rPr>
                  <m:t>=0.1820 f</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d>
                      <m:dPr>
                        <m:ctrlPr>
                          <w:rPr>
                            <w:rFonts w:ascii="Cambria Math" w:hAnsi="Cambria Math"/>
                            <w:i/>
                          </w:rPr>
                        </m:ctrlPr>
                      </m:dPr>
                      <m:e>
                        <m:r>
                          <w:rPr>
                            <w:rFonts w:ascii="Cambria Math" w:hAnsi="Cambria Math"/>
                          </w:rPr>
                          <m:t>f</m:t>
                        </m:r>
                      </m:e>
                    </m:d>
                  </m:e>
                </m:d>
              </m:oMath>
            </m:oMathPara>
          </w:p>
        </w:tc>
        <w:tc>
          <w:tcPr>
            <w:tcW w:w="739" w:type="pct"/>
            <w:vAlign w:val="center"/>
          </w:tcPr>
          <w:p w14:paraId="252AEC88"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1</w:t>
            </w:r>
            <w:r w:rsidR="006916B9">
              <w:rPr>
                <w:noProof/>
              </w:rPr>
              <w:fldChar w:fldCharType="end"/>
            </w:r>
            <w:r>
              <w:t>)</w:t>
            </w:r>
          </w:p>
        </w:tc>
      </w:tr>
    </w:tbl>
    <w:p w14:paraId="5541FB6F" w14:textId="77777777" w:rsidR="00BA23C7" w:rsidRDefault="00BA23C7" w:rsidP="00BA23C7">
      <w:pPr>
        <w:jc w:val="both"/>
      </w:pPr>
      <w:r>
        <w:t xml:space="preserve">où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représente l'atténuation spécifique due aux gaz atmosphériques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ox</m:t>
            </m:r>
          </m:sub>
        </m:sSub>
      </m:oMath>
      <w:r>
        <w:t xml:space="preserve"> représente l'atténuation spécifique due à l'oxygène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t xml:space="preserve"> représente l'atténuation spécifique due à la vapeur d'eau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w:r>
        <w:rPr>
          <w:rFonts w:ascii="Cambria Math" w:hAnsi="Cambria Math" w:cs="Cambria Math"/>
        </w:rPr>
        <w:t>𝑓</w:t>
      </w:r>
      <w:r>
        <w:t xml:space="preserve"> est la fréquence du signal radio en [</w:t>
      </w:r>
      <w:r>
        <w:rPr>
          <w:rFonts w:ascii="Cambria Math" w:hAnsi="Cambria Math" w:cs="Cambria Math"/>
        </w:rPr>
        <w:t>GHz]</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oMath>
      <w:r>
        <w:t xml:space="preserve"> est la partie imaginaire de la réfractivité complexe dépendant de la fréquence de l'oxygène, </w:t>
      </w:r>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oMath>
      <w:r>
        <w:t xml:space="preserve"> est la partie imaginaire de la réfractivité complexe dépendant de la fréquence de la vapeur d'eau.</w:t>
      </w:r>
    </w:p>
    <w:p w14:paraId="5F57A3AB" w14:textId="77777777" w:rsidR="00BA23C7" w:rsidRDefault="00BA23C7" w:rsidP="00BA23C7">
      <w:pPr>
        <w:spacing w:after="0"/>
        <w:jc w:val="both"/>
      </w:pPr>
      <w:r w:rsidRPr="00244FAC">
        <w:t>Les parties imaginaires de la réfractivité complexe dépendant de la fréquence peuvent être calculées de la manière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1030D117" w14:textId="77777777" w:rsidTr="00CE6F3D">
        <w:trPr>
          <w:trHeight w:val="624"/>
        </w:trPr>
        <w:tc>
          <w:tcPr>
            <w:tcW w:w="740" w:type="pct"/>
            <w:vAlign w:val="center"/>
          </w:tcPr>
          <w:p w14:paraId="402EC8DD" w14:textId="77777777" w:rsidR="00BA23C7" w:rsidRDefault="00BA23C7" w:rsidP="00CE6F3D">
            <w:pPr>
              <w:jc w:val="center"/>
            </w:pPr>
          </w:p>
        </w:tc>
        <w:tc>
          <w:tcPr>
            <w:tcW w:w="3521" w:type="pct"/>
            <w:vAlign w:val="center"/>
          </w:tcPr>
          <w:p w14:paraId="5DDC95C8" w14:textId="77777777" w:rsidR="00BA23C7" w:rsidRDefault="006916B9" w:rsidP="00CE6F3D">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ox,i</m:t>
                        </m:r>
                      </m:sub>
                    </m:sSub>
                    <m:d>
                      <m:dPr>
                        <m:ctrlPr>
                          <w:rPr>
                            <w:rFonts w:ascii="Cambria Math" w:hAnsi="Cambria Math"/>
                            <w:i/>
                          </w:rPr>
                        </m:ctrlPr>
                      </m:dPr>
                      <m:e>
                        <m:r>
                          <w:rPr>
                            <w:rFonts w:ascii="Cambria Math" w:hAnsi="Cambria Math"/>
                          </w:rPr>
                          <m:t>f</m:t>
                        </m:r>
                      </m:e>
                    </m:d>
                  </m:e>
                </m:nary>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oMath>
            </m:oMathPara>
          </w:p>
        </w:tc>
        <w:tc>
          <w:tcPr>
            <w:tcW w:w="739" w:type="pct"/>
            <w:vAlign w:val="center"/>
          </w:tcPr>
          <w:p w14:paraId="726B0F24"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2</w:t>
            </w:r>
            <w:r w:rsidR="006916B9">
              <w:rPr>
                <w:noProof/>
              </w:rPr>
              <w:fldChar w:fldCharType="end"/>
            </w:r>
            <w:r>
              <w:t>)</w:t>
            </w:r>
          </w:p>
        </w:tc>
      </w:tr>
      <w:tr w:rsidR="00BA23C7" w14:paraId="73356641" w14:textId="77777777" w:rsidTr="00CE6F3D">
        <w:trPr>
          <w:trHeight w:val="624"/>
        </w:trPr>
        <w:tc>
          <w:tcPr>
            <w:tcW w:w="740" w:type="pct"/>
            <w:vAlign w:val="center"/>
          </w:tcPr>
          <w:p w14:paraId="3BD22052" w14:textId="77777777" w:rsidR="00BA23C7" w:rsidRDefault="00BA23C7" w:rsidP="00CE6F3D">
            <w:pPr>
              <w:jc w:val="center"/>
            </w:pPr>
          </w:p>
        </w:tc>
        <w:tc>
          <w:tcPr>
            <w:tcW w:w="3521" w:type="pct"/>
            <w:vAlign w:val="center"/>
          </w:tcPr>
          <w:p w14:paraId="072EAFC7" w14:textId="77777777" w:rsidR="00BA23C7" w:rsidRDefault="006916B9" w:rsidP="00CE6F3D">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wv,i</m:t>
                        </m:r>
                      </m:sub>
                    </m:sSub>
                    <m:d>
                      <m:dPr>
                        <m:ctrlPr>
                          <w:rPr>
                            <w:rFonts w:ascii="Cambria Math" w:hAnsi="Cambria Math"/>
                            <w:i/>
                          </w:rPr>
                        </m:ctrlPr>
                      </m:dPr>
                      <m:e>
                        <m:r>
                          <w:rPr>
                            <w:rFonts w:ascii="Cambria Math" w:hAnsi="Cambria Math"/>
                          </w:rPr>
                          <m:t>f</m:t>
                        </m:r>
                      </m:e>
                    </m:d>
                  </m:e>
                </m:nary>
              </m:oMath>
            </m:oMathPara>
          </w:p>
        </w:tc>
        <w:tc>
          <w:tcPr>
            <w:tcW w:w="739" w:type="pct"/>
            <w:vAlign w:val="center"/>
          </w:tcPr>
          <w:p w14:paraId="251A0B6F"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3</w:t>
            </w:r>
            <w:r w:rsidR="006916B9">
              <w:rPr>
                <w:noProof/>
              </w:rPr>
              <w:fldChar w:fldCharType="end"/>
            </w:r>
            <w:r>
              <w:t>)</w:t>
            </w:r>
          </w:p>
        </w:tc>
      </w:tr>
    </w:tbl>
    <w:p w14:paraId="62A0D003" w14:textId="77777777" w:rsidR="00BA23C7" w:rsidRDefault="00BA23C7" w:rsidP="00BA23C7">
      <w:pPr>
        <w:jc w:val="both"/>
      </w:pPr>
      <w:r>
        <w:t xml:space="preserve">où </w:t>
      </w:r>
      <m:oMath>
        <m:sSub>
          <m:sSubPr>
            <m:ctrlPr>
              <w:rPr>
                <w:rFonts w:ascii="Cambria Math" w:hAnsi="Cambria Math"/>
                <w:i/>
              </w:rPr>
            </m:ctrlPr>
          </m:sSubPr>
          <m:e>
            <m:r>
              <w:rPr>
                <w:rFonts w:ascii="Cambria Math" w:hAnsi="Cambria Math"/>
              </w:rPr>
              <m:t>S</m:t>
            </m:r>
          </m:e>
          <m:sub>
            <m:r>
              <w:rPr>
                <w:rFonts w:ascii="Cambria Math" w:hAnsi="Cambria Math"/>
              </w:rPr>
              <m:t>ox,i</m:t>
            </m:r>
          </m:sub>
        </m:sSub>
      </m:oMath>
      <w:r>
        <w:t xml:space="preserve"> représente le </w:t>
      </w:r>
      <w:r>
        <w:rPr>
          <w:rFonts w:eastAsiaTheme="minorEastAsia"/>
        </w:rPr>
        <w:t xml:space="preserve">coefficient d’amplitude </w:t>
      </w:r>
      <w:r>
        <w:t xml:space="preserve">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S</m:t>
            </m:r>
          </m:e>
          <m:sub>
            <m:r>
              <w:rPr>
                <w:rFonts w:ascii="Cambria Math" w:hAnsi="Cambria Math"/>
              </w:rPr>
              <m:t>wv,i</m:t>
            </m:r>
          </m:sub>
        </m:sSub>
      </m:oMath>
      <w:r>
        <w:t xml:space="preserve"> représente le </w:t>
      </w:r>
      <w:r>
        <w:rPr>
          <w:rFonts w:eastAsiaTheme="minorEastAsia"/>
        </w:rPr>
        <w:t>coefficient d’amplitude</w:t>
      </w:r>
      <w:r>
        <w:t xml:space="preserve"> de la </w:t>
      </w:r>
      <m:oMath>
        <m:r>
          <w:rPr>
            <w:rFonts w:ascii="Cambria Math" w:hAnsi="Cambria Math"/>
          </w:rPr>
          <m:t>i</m:t>
        </m:r>
      </m:oMath>
      <w:r>
        <w:t xml:space="preserve">-ème ligne d'absorption de la vapeur d'eau, </w:t>
      </w:r>
      <m:oMath>
        <m:sSub>
          <m:sSubPr>
            <m:ctrlPr>
              <w:rPr>
                <w:rFonts w:ascii="Cambria Math" w:hAnsi="Cambria Math"/>
                <w:i/>
              </w:rPr>
            </m:ctrlPr>
          </m:sSubPr>
          <m:e>
            <m:r>
              <w:rPr>
                <w:rFonts w:ascii="Cambria Math" w:hAnsi="Cambria Math"/>
              </w:rPr>
              <m:t>F</m:t>
            </m:r>
          </m:e>
          <m:sub>
            <m:r>
              <w:rPr>
                <w:rFonts w:ascii="Cambria Math" w:hAnsi="Cambria Math"/>
              </w:rPr>
              <m:t>ox,i</m:t>
            </m:r>
          </m:sub>
        </m:sSub>
      </m:oMath>
      <w:r>
        <w:t xml:space="preserve"> est le facteur de forme 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F</m:t>
            </m:r>
          </m:e>
          <m:sub>
            <m:r>
              <w:rPr>
                <w:rFonts w:ascii="Cambria Math" w:hAnsi="Cambria Math"/>
              </w:rPr>
              <m:t>wv,i</m:t>
            </m:r>
          </m:sub>
        </m:sSub>
      </m:oMath>
      <w:r>
        <w:t xml:space="preserve"> est le facteur de forme de la </w:t>
      </w:r>
      <m:oMath>
        <m:r>
          <w:rPr>
            <w:rFonts w:ascii="Cambria Math" w:hAnsi="Cambria Math"/>
          </w:rPr>
          <m:t>i</m:t>
        </m:r>
      </m:oMath>
      <w:r>
        <w:t xml:space="preserve">-ème ligne d'absorption de la vapeur d'eau, </w:t>
      </w:r>
      <m:oMath>
        <m:r>
          <w:rPr>
            <w:rFonts w:ascii="Cambria Math" w:hAnsi="Cambria Math" w:cs="Cambria Math"/>
          </w:rPr>
          <m:t>f</m:t>
        </m:r>
      </m:oMath>
      <w:r>
        <w:t xml:space="preserve"> est la fréquence du signal radio en [</w:t>
      </w:r>
      <w:r>
        <w:rPr>
          <w:rFonts w:ascii="Cambria Math" w:hAnsi="Cambria Math" w:cs="Cambria Math"/>
        </w:rPr>
        <w:t>GHz]</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oMath>
      <w:r>
        <w:t xml:space="preserve"> est le continuum sec donné dans (1.4).</w:t>
      </w:r>
    </w:p>
    <w:p w14:paraId="4E58DB6E" w14:textId="77777777" w:rsidR="00BA23C7" w:rsidRDefault="00BA23C7" w:rsidP="00BA23C7">
      <w:pPr>
        <w:spacing w:after="0"/>
        <w:jc w:val="both"/>
      </w:pPr>
      <w:r w:rsidRPr="00244FAC">
        <w:t>Le continuum de l'air sec provient du spectre Debye non résonant de l'oxygène en dessous de 10 GHz et de l'atténuation induite par la pression de l'azote au-dessus de 100 GHz. Il est donné par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37F39BA0" w14:textId="77777777" w:rsidTr="00CE6F3D">
        <w:trPr>
          <w:trHeight w:val="624"/>
        </w:trPr>
        <w:tc>
          <w:tcPr>
            <w:tcW w:w="740" w:type="pct"/>
            <w:vAlign w:val="center"/>
          </w:tcPr>
          <w:p w14:paraId="41E6EAB8" w14:textId="77777777" w:rsidR="00BA23C7" w:rsidRDefault="00BA23C7" w:rsidP="00CE6F3D">
            <w:pPr>
              <w:jc w:val="center"/>
            </w:pPr>
          </w:p>
        </w:tc>
        <w:tc>
          <w:tcPr>
            <w:tcW w:w="3521" w:type="pct"/>
            <w:vAlign w:val="center"/>
          </w:tcPr>
          <w:p w14:paraId="52C773ED" w14:textId="77777777" w:rsidR="00BA23C7" w:rsidRDefault="006916B9" w:rsidP="00CE6F3D">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=f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6.14</m:t>
                        </m:r>
                        <m:sSup>
                          <m:sSupPr>
                            <m:ctrlPr>
                              <w:rPr>
                                <w:rFonts w:ascii="Cambria Math" w:hAnsi="Cambria Math"/>
                                <w:i/>
                              </w:rPr>
                            </m:ctrlPr>
                          </m:sSupPr>
                          <m:e>
                            <m:r>
                              <w:rPr>
                                <w:rFonts w:ascii="Cambria Math" w:hAnsi="Cambria Math"/>
                              </w:rPr>
                              <m:t>e</m:t>
                            </m:r>
                          </m:e>
                          <m:sup>
                            <m:r>
                              <w:rPr>
                                <w:rFonts w:ascii="Cambria Math" w:hAnsi="Cambria Math"/>
                              </w:rPr>
                              <m:t>-5</m:t>
                            </m:r>
                          </m:sup>
                        </m:sSup>
                      </m:num>
                      <m:den>
                        <m:r>
                          <w:rPr>
                            <w:rFonts w:ascii="Cambria Math" w:hAnsi="Cambria Math"/>
                          </w:rPr>
                          <m:t>d</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d</m:t>
                                        </m:r>
                                      </m:den>
                                    </m:f>
                                  </m:e>
                                </m:d>
                              </m:e>
                              <m:sup>
                                <m:r>
                                  <w:rPr>
                                    <w:rFonts w:ascii="Cambria Math" w:hAnsi="Cambria Math"/>
                                  </w:rPr>
                                  <m:t>2</m:t>
                                </m:r>
                              </m:sup>
                            </m:sSup>
                          </m:e>
                        </m:d>
                      </m:den>
                    </m:f>
                    <m:r>
                      <w:rPr>
                        <w:rFonts w:ascii="Cambria Math" w:hAnsi="Cambria Math"/>
                      </w:rPr>
                      <m:t>+</m:t>
                    </m:r>
                    <m:f>
                      <m:fPr>
                        <m:ctrlPr>
                          <w:rPr>
                            <w:rFonts w:ascii="Cambria Math" w:hAnsi="Cambria Math"/>
                            <w:i/>
                          </w:rPr>
                        </m:ctrlPr>
                      </m:fPr>
                      <m:num>
                        <m:r>
                          <w:rPr>
                            <w:rFonts w:ascii="Cambria Math" w:hAnsi="Cambria Math"/>
                          </w:rPr>
                          <m:t>1.4</m:t>
                        </m:r>
                        <m:sSup>
                          <m:sSupPr>
                            <m:ctrlPr>
                              <w:rPr>
                                <w:rFonts w:ascii="Cambria Math" w:hAnsi="Cambria Math"/>
                                <w:i/>
                              </w:rPr>
                            </m:ctrlPr>
                          </m:sSupPr>
                          <m:e>
                            <m:r>
                              <w:rPr>
                                <w:rFonts w:ascii="Cambria Math" w:hAnsi="Cambria Math"/>
                              </w:rPr>
                              <m:t>e</m:t>
                            </m:r>
                          </m:e>
                          <m:sup>
                            <m:r>
                              <w:rPr>
                                <w:rFonts w:ascii="Cambria Math" w:hAnsi="Cambria Math"/>
                              </w:rPr>
                              <m:t>-12</m:t>
                            </m:r>
                          </m:sup>
                        </m:sSup>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1.5</m:t>
                            </m:r>
                          </m:sup>
                        </m:sSup>
                      </m:num>
                      <m:den>
                        <m:r>
                          <w:rPr>
                            <w:rFonts w:ascii="Cambria Math" w:hAnsi="Cambria Math"/>
                          </w:rPr>
                          <m:t>1+1.9</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1.5</m:t>
                            </m:r>
                          </m:sup>
                        </m:sSup>
                      </m:den>
                    </m:f>
                    <m:r>
                      <w:rPr>
                        <w:rFonts w:ascii="Cambria Math" w:hAnsi="Cambria Math"/>
                      </w:rPr>
                      <m:t xml:space="preserve">  </m:t>
                    </m:r>
                  </m:e>
                </m:d>
              </m:oMath>
            </m:oMathPara>
          </w:p>
        </w:tc>
        <w:tc>
          <w:tcPr>
            <w:tcW w:w="739" w:type="pct"/>
            <w:vAlign w:val="center"/>
          </w:tcPr>
          <w:p w14:paraId="48B73831"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4</w:t>
            </w:r>
            <w:r w:rsidR="006916B9">
              <w:rPr>
                <w:noProof/>
              </w:rPr>
              <w:fldChar w:fldCharType="end"/>
            </w:r>
            <w:r>
              <w:t>)</w:t>
            </w:r>
          </w:p>
        </w:tc>
      </w:tr>
    </w:tbl>
    <w:p w14:paraId="17A60B37" w14:textId="77777777" w:rsidR="00BA23C7" w:rsidRDefault="00BA23C7" w:rsidP="00BA23C7">
      <w:pPr>
        <w:spacing w:after="0"/>
        <w:jc w:val="both"/>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Pr="00247675">
        <w:rPr>
          <w:rFonts w:eastAsiaTheme="minorEastAsia"/>
        </w:rPr>
        <w:t xml:space="preserve"> est la </w:t>
      </w:r>
      <w:r w:rsidRPr="00852314">
        <w:rPr>
          <w:rFonts w:eastAsiaTheme="minorEastAsia" w:cstheme="minorHAnsi"/>
        </w:rPr>
        <w:t xml:space="preserve">pression de l'air sec en [hPa], </w:t>
      </w:r>
      <m:oMath>
        <m:r>
          <w:rPr>
            <w:rFonts w:ascii="Cambria Math" w:hAnsi="Cambria Math" w:cstheme="minorHAnsi"/>
          </w:rPr>
          <m:t>θ</m:t>
        </m:r>
      </m:oMath>
      <w:r w:rsidRPr="00852314">
        <w:rPr>
          <w:rFonts w:eastAsiaTheme="minorEastAsia" w:cstheme="minorHAnsi"/>
        </w:rPr>
        <w:t xml:space="preserve"> = 300⁄</w:t>
      </w:r>
      <m:oMath>
        <m:r>
          <w:rPr>
            <w:rFonts w:ascii="Cambria Math" w:eastAsiaTheme="minorEastAsia" w:hAnsi="Cambria Math" w:cstheme="minorHAnsi"/>
          </w:rPr>
          <m:t>T</m:t>
        </m:r>
      </m:oMath>
      <w:r w:rsidRPr="00852314">
        <w:rPr>
          <w:rFonts w:eastAsiaTheme="minorEastAsia" w:cstheme="minorHAnsi"/>
        </w:rPr>
        <w:t xml:space="preserve"> est une fonction de la température en [K</w:t>
      </w:r>
      <w:r w:rsidRPr="00852314">
        <w:rPr>
          <w:rFonts w:eastAsiaTheme="minorEastAsia" w:cstheme="minorHAnsi"/>
          <w:vertAlign w:val="superscript"/>
        </w:rPr>
        <w:t>-1</w:t>
      </w:r>
      <w:r w:rsidRPr="00852314">
        <w:rPr>
          <w:rFonts w:eastAsiaTheme="minorEastAsia" w:cstheme="minorHAnsi"/>
        </w:rPr>
        <w:t xml:space="preserve">], </w:t>
      </w:r>
      <m:oMath>
        <m:r>
          <w:rPr>
            <w:rFonts w:ascii="Cambria Math" w:eastAsiaTheme="minorEastAsia" w:hAnsi="Cambria Math" w:cstheme="minorHAnsi"/>
          </w:rPr>
          <m:t>T</m:t>
        </m:r>
      </m:oMath>
      <w:r w:rsidRPr="00852314">
        <w:rPr>
          <w:rFonts w:eastAsiaTheme="minorEastAsia" w:cstheme="minorHAnsi"/>
        </w:rPr>
        <w:t xml:space="preserve"> est la température en [K], </w:t>
      </w:r>
      <m:oMath>
        <m:r>
          <w:rPr>
            <w:rFonts w:ascii="Cambria Math" w:hAnsi="Cambria Math" w:cstheme="minorHAnsi"/>
          </w:rPr>
          <m:t>d</m:t>
        </m:r>
      </m:oMath>
      <w:r w:rsidRPr="00852314">
        <w:rPr>
          <w:rFonts w:eastAsiaTheme="minorEastAsia" w:cstheme="minorHAnsi"/>
        </w:rPr>
        <w:t xml:space="preserve"> est le paramètre de largeur pour le spectre Debye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143D8B75" w14:textId="77777777" w:rsidTr="00CE6F3D">
        <w:trPr>
          <w:trHeight w:val="624"/>
        </w:trPr>
        <w:tc>
          <w:tcPr>
            <w:tcW w:w="740" w:type="pct"/>
            <w:vAlign w:val="center"/>
          </w:tcPr>
          <w:p w14:paraId="5808F866" w14:textId="77777777" w:rsidR="00BA23C7" w:rsidRDefault="00BA23C7" w:rsidP="00CE6F3D">
            <w:pPr>
              <w:jc w:val="center"/>
            </w:pPr>
          </w:p>
        </w:tc>
        <w:tc>
          <w:tcPr>
            <w:tcW w:w="3521" w:type="pct"/>
            <w:vAlign w:val="center"/>
          </w:tcPr>
          <w:p w14:paraId="6B2E3C77" w14:textId="77777777" w:rsidR="00BA23C7" w:rsidRDefault="00BA23C7" w:rsidP="00CE6F3D">
            <w:pPr>
              <w:jc w:val="center"/>
            </w:pPr>
            <m:oMathPara>
              <m:oMath>
                <m:r>
                  <w:rPr>
                    <w:rFonts w:ascii="Cambria Math" w:hAnsi="Cambria Math"/>
                  </w:rPr>
                  <m:t>d=5.6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wv</m:t>
                        </m:r>
                      </m:sub>
                    </m:sSub>
                  </m:e>
                </m:d>
                <m:sSup>
                  <m:sSupPr>
                    <m:ctrlPr>
                      <w:rPr>
                        <w:rFonts w:ascii="Cambria Math" w:hAnsi="Cambria Math"/>
                        <w:i/>
                      </w:rPr>
                    </m:ctrlPr>
                  </m:sSupPr>
                  <m:e>
                    <m:r>
                      <w:rPr>
                        <w:rFonts w:ascii="Cambria Math" w:hAnsi="Cambria Math"/>
                      </w:rPr>
                      <m:t>θ</m:t>
                    </m:r>
                  </m:e>
                  <m:sup>
                    <m:r>
                      <w:rPr>
                        <w:rFonts w:ascii="Cambria Math" w:hAnsi="Cambria Math"/>
                      </w:rPr>
                      <m:t>0.8</m:t>
                    </m:r>
                  </m:sup>
                </m:sSup>
              </m:oMath>
            </m:oMathPara>
          </w:p>
        </w:tc>
        <w:tc>
          <w:tcPr>
            <w:tcW w:w="739" w:type="pct"/>
            <w:vAlign w:val="center"/>
          </w:tcPr>
          <w:p w14:paraId="67D29225"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5</w:t>
            </w:r>
            <w:r w:rsidR="006916B9">
              <w:rPr>
                <w:noProof/>
              </w:rPr>
              <w:fldChar w:fldCharType="end"/>
            </w:r>
            <w:r>
              <w:t>)</w:t>
            </w:r>
          </w:p>
        </w:tc>
      </w:tr>
    </w:tbl>
    <w:p w14:paraId="181BBE34" w14:textId="77777777" w:rsidR="00BA23C7" w:rsidRPr="00247675" w:rsidRDefault="00BA23C7" w:rsidP="00BA23C7">
      <w:pPr>
        <w:rPr>
          <w:rFonts w:eastAsiaTheme="minorEastAsia"/>
        </w:rPr>
      </w:pPr>
      <w:r>
        <w:rPr>
          <w:rFonts w:eastAsiaTheme="minorEastAsia"/>
        </w:rPr>
        <w:lastRenderedPageBreak/>
        <w:t xml:space="preserve">Où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sidRPr="00406EBC">
        <w:t xml:space="preserve"> </w:t>
      </w:r>
      <w:r>
        <w:t>est la pression partielle de la vapeur d'eau en [</w:t>
      </w:r>
      <w:r>
        <w:rPr>
          <w:rFonts w:ascii="Cambria Math" w:hAnsi="Cambria Math" w:cs="Cambria Math"/>
        </w:rPr>
        <w:t>hPa].</w:t>
      </w:r>
    </w:p>
    <w:p w14:paraId="7B5C9B4B" w14:textId="77777777" w:rsidR="00BA23C7" w:rsidRDefault="00BA23C7" w:rsidP="00BA23C7">
      <w:pPr>
        <w:spacing w:after="0"/>
        <w:jc w:val="both"/>
        <w:rPr>
          <w:rFonts w:eastAsiaTheme="minorEastAsia"/>
        </w:rPr>
      </w:pPr>
      <w:r>
        <w:rPr>
          <w:rFonts w:eastAsiaTheme="minorEastAsia"/>
        </w:rPr>
        <w:t>Le coefficient d’amplitude</w:t>
      </w:r>
      <w:r w:rsidRPr="00247675">
        <w:rPr>
          <w:rFonts w:eastAsiaTheme="minorEastAsia"/>
        </w:rPr>
        <w:t xml:space="preserve"> de chaque ligne d'absorption pour l'oxygène et la vapeur d'eau est donnée par les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071FA05B" w14:textId="77777777" w:rsidTr="00CE6F3D">
        <w:trPr>
          <w:trHeight w:val="624"/>
        </w:trPr>
        <w:tc>
          <w:tcPr>
            <w:tcW w:w="740" w:type="pct"/>
            <w:vAlign w:val="center"/>
          </w:tcPr>
          <w:p w14:paraId="2ABE7440" w14:textId="77777777" w:rsidR="00BA23C7" w:rsidRDefault="00BA23C7" w:rsidP="00CE6F3D">
            <w:pPr>
              <w:jc w:val="center"/>
            </w:pPr>
          </w:p>
        </w:tc>
        <w:tc>
          <w:tcPr>
            <w:tcW w:w="3521" w:type="pct"/>
            <w:vAlign w:val="center"/>
          </w:tcPr>
          <w:p w14:paraId="677E7338" w14:textId="77777777" w:rsidR="00BA23C7" w:rsidRDefault="006916B9" w:rsidP="00CE6F3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-7</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r>
                  <m:rPr>
                    <m:sty m:val="p"/>
                  </m:rPr>
                  <w:rPr>
                    <w:rFonts w:ascii="Cambria Math" w:hAnsi="Cambria Math"/>
                  </w:rPr>
                  <m:t xml:space="preserve"> </m:t>
                </m:r>
              </m:oMath>
            </m:oMathPara>
          </w:p>
        </w:tc>
        <w:tc>
          <w:tcPr>
            <w:tcW w:w="739" w:type="pct"/>
            <w:vAlign w:val="center"/>
          </w:tcPr>
          <w:p w14:paraId="79171F7B"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6</w:t>
            </w:r>
            <w:r w:rsidR="006916B9">
              <w:rPr>
                <w:noProof/>
              </w:rPr>
              <w:fldChar w:fldCharType="end"/>
            </w:r>
            <w:r>
              <w:t>)</w:t>
            </w:r>
          </w:p>
        </w:tc>
      </w:tr>
      <w:tr w:rsidR="00BA23C7" w14:paraId="1BEE51E2" w14:textId="77777777" w:rsidTr="00CE6F3D">
        <w:trPr>
          <w:trHeight w:val="624"/>
        </w:trPr>
        <w:tc>
          <w:tcPr>
            <w:tcW w:w="740" w:type="pct"/>
            <w:vAlign w:val="center"/>
          </w:tcPr>
          <w:p w14:paraId="63578179" w14:textId="77777777" w:rsidR="00BA23C7" w:rsidRDefault="00BA23C7" w:rsidP="00CE6F3D">
            <w:pPr>
              <w:jc w:val="center"/>
            </w:pPr>
          </w:p>
        </w:tc>
        <w:tc>
          <w:tcPr>
            <w:tcW w:w="3521" w:type="pct"/>
            <w:vAlign w:val="center"/>
          </w:tcPr>
          <w:p w14:paraId="2F0EE490" w14:textId="77777777" w:rsidR="00BA23C7" w:rsidRDefault="006916B9" w:rsidP="00CE6F3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3.5</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oMath>
            </m:oMathPara>
          </w:p>
        </w:tc>
        <w:tc>
          <w:tcPr>
            <w:tcW w:w="739" w:type="pct"/>
            <w:vAlign w:val="center"/>
          </w:tcPr>
          <w:p w14:paraId="6963277A"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7</w:t>
            </w:r>
            <w:r w:rsidR="006916B9">
              <w:rPr>
                <w:noProof/>
              </w:rPr>
              <w:fldChar w:fldCharType="end"/>
            </w:r>
            <w:r>
              <w:t>)</w:t>
            </w:r>
          </w:p>
        </w:tc>
      </w:tr>
    </w:tbl>
    <w:p w14:paraId="20C8076C" w14:textId="77777777" w:rsidR="00BA23C7" w:rsidRDefault="00BA23C7" w:rsidP="00BA23C7">
      <w:pPr>
        <w:jc w:val="both"/>
      </w:pPr>
      <w:r>
        <w:t xml:space="preserve">où </w:t>
      </w:r>
      <m:oMath>
        <m:sSub>
          <m:sSubPr>
            <m:ctrlPr>
              <w:rPr>
                <w:rFonts w:ascii="Cambria Math" w:hAnsi="Cambria Math"/>
                <w:i/>
              </w:rPr>
            </m:ctrlPr>
          </m:sSubPr>
          <m:e>
            <m:r>
              <w:rPr>
                <w:rFonts w:ascii="Cambria Math" w:hAnsi="Cambria Math"/>
              </w:rPr>
              <m:t>a</m:t>
            </m:r>
          </m:e>
          <m:sub>
            <m:r>
              <w:rPr>
                <w:rFonts w:ascii="Cambria Math" w:hAnsi="Cambria Math"/>
              </w:rPr>
              <m:t>1,i</m:t>
            </m:r>
          </m:sub>
        </m:sSub>
      </m:oMath>
      <w:r>
        <w:rPr>
          <w:rFonts w:eastAsiaTheme="minorEastAsia"/>
        </w:rPr>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2,i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1,i</m:t>
            </m:r>
          </m:sub>
        </m:sSub>
      </m:oMath>
      <w:r>
        <w:rPr>
          <w:rFonts w:eastAsiaTheme="minorEastAsia"/>
        </w:rPr>
        <w:t xml:space="preserve">, et </w:t>
      </w:r>
      <m:oMath>
        <m:sSub>
          <m:sSubPr>
            <m:ctrlPr>
              <w:rPr>
                <w:rFonts w:ascii="Cambria Math" w:hAnsi="Cambria Math"/>
                <w:i/>
              </w:rPr>
            </m:ctrlPr>
          </m:sSubPr>
          <m:e>
            <m:r>
              <w:rPr>
                <w:rFonts w:ascii="Cambria Math" w:hAnsi="Cambria Math"/>
              </w:rPr>
              <m:t>b</m:t>
            </m:r>
          </m:e>
          <m:sub>
            <m:r>
              <w:rPr>
                <w:rFonts w:ascii="Cambria Math" w:hAnsi="Cambria Math"/>
              </w:rPr>
              <m:t>2,i</m:t>
            </m:r>
          </m:sub>
        </m:sSub>
      </m:oMath>
      <w:r>
        <w:rPr>
          <w:rFonts w:eastAsiaTheme="minorEastAsia"/>
        </w:rPr>
        <w:t xml:space="preserve"> </w:t>
      </w:r>
      <w:r>
        <w:t>sont des constantes spectroscopiques.</w:t>
      </w:r>
    </w:p>
    <w:p w14:paraId="34D1762E" w14:textId="77777777" w:rsidR="00BA23C7" w:rsidRDefault="00BA23C7" w:rsidP="00BA23C7">
      <w:pPr>
        <w:jc w:val="both"/>
      </w:pPr>
      <w:r>
        <w:t xml:space="preserve">Les constantes spectroscopiques pour chaque ligne d'absorption ainsi que leurs fréquences sont regroupées dans le Tableau en annexe A.1 pour l'oxygène et dans le Tableau en annexe A.2 pour la vapeur d'eau. </w:t>
      </w:r>
    </w:p>
    <w:p w14:paraId="62AF822C" w14:textId="77777777" w:rsidR="00BA23C7" w:rsidRDefault="00BA23C7" w:rsidP="00BA23C7">
      <w:pPr>
        <w:spacing w:after="0"/>
        <w:jc w:val="both"/>
      </w:pPr>
      <w:r>
        <w:t>Le facteur de forme de chaque ligne d'absorption pour l'oxygène et la vapeur d'eau est donné par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4CA7CDED" w14:textId="77777777" w:rsidTr="00CE6F3D">
        <w:trPr>
          <w:trHeight w:val="624"/>
        </w:trPr>
        <w:tc>
          <w:tcPr>
            <w:tcW w:w="740" w:type="pct"/>
            <w:vAlign w:val="center"/>
          </w:tcPr>
          <w:p w14:paraId="0221CC6C" w14:textId="77777777" w:rsidR="00BA23C7" w:rsidRDefault="00BA23C7" w:rsidP="00CE6F3D">
            <w:pPr>
              <w:jc w:val="center"/>
            </w:pPr>
          </w:p>
        </w:tc>
        <w:tc>
          <w:tcPr>
            <w:tcW w:w="3521" w:type="pct"/>
            <w:vAlign w:val="center"/>
          </w:tcPr>
          <w:p w14:paraId="65ABF711" w14:textId="77777777" w:rsidR="00BA23C7" w:rsidRDefault="006916B9" w:rsidP="00CE6F3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ox,i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ooxxy,i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e>
                </m:d>
              </m:oMath>
            </m:oMathPara>
          </w:p>
        </w:tc>
        <w:tc>
          <w:tcPr>
            <w:tcW w:w="739" w:type="pct"/>
            <w:vAlign w:val="center"/>
          </w:tcPr>
          <w:p w14:paraId="11322AFC"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8</w:t>
            </w:r>
            <w:r w:rsidR="006916B9">
              <w:rPr>
                <w:noProof/>
              </w:rPr>
              <w:fldChar w:fldCharType="end"/>
            </w:r>
            <w:r>
              <w:t>)</w:t>
            </w:r>
          </w:p>
        </w:tc>
      </w:tr>
      <w:tr w:rsidR="00BA23C7" w14:paraId="1DBE7E8C" w14:textId="77777777" w:rsidTr="00CE6F3D">
        <w:trPr>
          <w:trHeight w:val="624"/>
        </w:trPr>
        <w:tc>
          <w:tcPr>
            <w:tcW w:w="740" w:type="pct"/>
            <w:vAlign w:val="center"/>
          </w:tcPr>
          <w:p w14:paraId="5C93E8C5" w14:textId="77777777" w:rsidR="00BA23C7" w:rsidRDefault="00BA23C7" w:rsidP="00CE6F3D">
            <w:pPr>
              <w:jc w:val="center"/>
            </w:pPr>
          </w:p>
        </w:tc>
        <w:tc>
          <w:tcPr>
            <w:tcW w:w="3521" w:type="pct"/>
            <w:vAlign w:val="center"/>
          </w:tcPr>
          <w:p w14:paraId="3155A815" w14:textId="77777777" w:rsidR="00BA23C7" w:rsidRDefault="006916B9" w:rsidP="00CE6F3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wv,i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e>
                </m:d>
              </m:oMath>
            </m:oMathPara>
          </w:p>
        </w:tc>
        <w:tc>
          <w:tcPr>
            <w:tcW w:w="739" w:type="pct"/>
            <w:vAlign w:val="center"/>
          </w:tcPr>
          <w:p w14:paraId="3E1DF14A"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9</w:t>
            </w:r>
            <w:r w:rsidR="006916B9">
              <w:rPr>
                <w:noProof/>
              </w:rPr>
              <w:fldChar w:fldCharType="end"/>
            </w:r>
            <w:r>
              <w:t>)</w:t>
            </w:r>
          </w:p>
        </w:tc>
      </w:tr>
    </w:tbl>
    <w:p w14:paraId="30099275" w14:textId="77777777" w:rsidR="00BA23C7" w:rsidRPr="0064130E" w:rsidRDefault="00BA23C7" w:rsidP="00BA23C7">
      <w:pPr>
        <w:jc w:val="both"/>
        <w:rPr>
          <w:rFonts w:eastAsiaTheme="minorEastAsia"/>
        </w:rPr>
      </w:pPr>
      <w:r>
        <w:rPr>
          <w:rFonts w:eastAsiaTheme="minorEastAsia"/>
        </w:rPr>
        <w:t>où</w:t>
      </w:r>
      <w:r w:rsidRPr="0064130E">
        <w:rPr>
          <w:rFonts w:eastAsiaTheme="minorEastAsia"/>
        </w:rPr>
        <w:t xml:space="preserve"> </w:t>
      </w:r>
      <w:r w:rsidRPr="0064130E">
        <w:rPr>
          <w:rFonts w:ascii="Cambria Math" w:eastAsiaTheme="minorEastAsia" w:hAnsi="Cambria Math" w:cs="Cambria Math"/>
        </w:rPr>
        <w:t>𝛿</w:t>
      </w:r>
      <w:r w:rsidRPr="0064130E">
        <w:rPr>
          <w:rFonts w:eastAsiaTheme="minorEastAsia"/>
        </w:rPr>
        <w:t xml:space="preserve">  est un facteur de correction qui apparaît en raison des effets d'interférence dans les lignes d'absorption de l'oxygène,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oMath>
      <w:r w:rsidRPr="0064130E">
        <w:rPr>
          <w:rFonts w:eastAsiaTheme="minorEastAsia"/>
        </w:rPr>
        <w:t xml:space="preserve"> est la largeur de chaque ligne d'absorption de l'oxygène en </w:t>
      </w:r>
      <w:r>
        <w:rPr>
          <w:rFonts w:eastAsiaTheme="minorEastAsia"/>
        </w:rPr>
        <w:t>[</w:t>
      </w:r>
      <w:r>
        <w:rPr>
          <w:rFonts w:ascii="Cambria Math" w:eastAsiaTheme="minorEastAsia" w:hAnsi="Cambria Math" w:cs="Cambria Math"/>
        </w:rPr>
        <w:t>GHz]</w:t>
      </w:r>
      <w:r w:rsidRPr="0064130E">
        <w:rPr>
          <w:rFonts w:eastAsiaTheme="minor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oMath>
      <w:r w:rsidRPr="0064130E">
        <w:rPr>
          <w:rFonts w:eastAsiaTheme="minorEastAsia"/>
        </w:rPr>
        <w:t xml:space="preserve"> est la largeur de chaque ligne d'absorption de la vapeur d'eau en </w:t>
      </w:r>
      <w:r>
        <w:rPr>
          <w:rFonts w:eastAsiaTheme="minorEastAsia"/>
        </w:rPr>
        <w:t>[</w:t>
      </w:r>
      <w:r>
        <w:rPr>
          <w:rFonts w:ascii="Cambria Math" w:eastAsiaTheme="minorEastAsia" w:hAnsi="Cambria Math" w:cs="Cambria Math"/>
        </w:rPr>
        <w:t>GHz]</w:t>
      </w:r>
      <w:r w:rsidRPr="0064130E">
        <w:rPr>
          <w:rFonts w:eastAsiaTheme="minorEastAsia"/>
        </w:rPr>
        <w:t>.</w:t>
      </w:r>
    </w:p>
    <w:p w14:paraId="7A4464EC" w14:textId="77777777" w:rsidR="00BA23C7" w:rsidRDefault="00BA23C7" w:rsidP="00BA23C7">
      <w:pPr>
        <w:spacing w:after="0"/>
        <w:jc w:val="both"/>
      </w:pPr>
      <w:r w:rsidRPr="0064130E">
        <w:t>La largeur de chaque ligne d'absorption pour l'oxygène et la vapeur d'eau est d'abord calculée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4EDB4AE7" w14:textId="77777777" w:rsidTr="00CE6F3D">
        <w:trPr>
          <w:trHeight w:val="624"/>
        </w:trPr>
        <w:tc>
          <w:tcPr>
            <w:tcW w:w="740" w:type="pct"/>
            <w:vAlign w:val="center"/>
          </w:tcPr>
          <w:p w14:paraId="2CE0AA72" w14:textId="77777777" w:rsidR="00BA23C7" w:rsidRDefault="00BA23C7" w:rsidP="00CE6F3D">
            <w:pPr>
              <w:jc w:val="center"/>
            </w:pPr>
          </w:p>
        </w:tc>
        <w:tc>
          <w:tcPr>
            <w:tcW w:w="3521" w:type="pct"/>
            <w:vAlign w:val="center"/>
          </w:tcPr>
          <w:p w14:paraId="41F7A2DE" w14:textId="77777777" w:rsidR="00BA23C7" w:rsidRDefault="006916B9" w:rsidP="00CE6F3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0.8-</m:t>
                        </m:r>
                        <m:sSub>
                          <m:sSubPr>
                            <m:ctrlPr>
                              <w:rPr>
                                <w:rFonts w:ascii="Cambria Math" w:hAnsi="Cambria Math"/>
                                <w:i/>
                              </w:rPr>
                            </m:ctrlPr>
                          </m:sSubPr>
                          <m:e>
                            <m:r>
                              <w:rPr>
                                <w:rFonts w:ascii="Cambria Math" w:hAnsi="Cambria Math"/>
                              </w:rPr>
                              <m:t>a</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+1.1θ</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14:paraId="542FF51D"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10</w:t>
            </w:r>
            <w:r w:rsidR="006916B9">
              <w:rPr>
                <w:noProof/>
              </w:rPr>
              <w:fldChar w:fldCharType="end"/>
            </w:r>
            <w:r>
              <w:t>)</w:t>
            </w:r>
          </w:p>
        </w:tc>
      </w:tr>
      <w:tr w:rsidR="00BA23C7" w14:paraId="703D09EF" w14:textId="77777777" w:rsidTr="00CE6F3D">
        <w:trPr>
          <w:trHeight w:val="624"/>
        </w:trPr>
        <w:tc>
          <w:tcPr>
            <w:tcW w:w="740" w:type="pct"/>
            <w:vAlign w:val="center"/>
          </w:tcPr>
          <w:p w14:paraId="4DD552F0" w14:textId="77777777" w:rsidR="00BA23C7" w:rsidRDefault="00BA23C7" w:rsidP="00CE6F3D">
            <w:pPr>
              <w:jc w:val="center"/>
            </w:pPr>
          </w:p>
        </w:tc>
        <w:tc>
          <w:tcPr>
            <w:tcW w:w="3521" w:type="pct"/>
            <w:vAlign w:val="center"/>
          </w:tcPr>
          <w:p w14:paraId="0BDBA4EC" w14:textId="77777777" w:rsidR="00BA23C7" w:rsidRDefault="006916B9" w:rsidP="00CE6F3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sSub>
                          <m:sSubPr>
                            <m:ctrlPr>
                              <w:rPr>
                                <w:rFonts w:ascii="Cambria Math" w:hAnsi="Cambria Math"/>
                                <w:i/>
                              </w:rPr>
                            </m:ctrlPr>
                          </m:sSubPr>
                          <m:e>
                            <m:r>
                              <w:rPr>
                                <w:rFonts w:ascii="Cambria Math" w:hAnsi="Cambria Math"/>
                              </w:rPr>
                              <m:t>b</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5,i</m:t>
                        </m:r>
                      </m:sub>
                    </m:sSub>
                    <m:sSup>
                      <m:sSupPr>
                        <m:ctrlPr>
                          <w:rPr>
                            <w:rFonts w:ascii="Cambria Math" w:eastAsiaTheme="minorEastAsia" w:hAnsi="Cambria Math"/>
                            <w:i/>
                          </w:rPr>
                        </m:ctrlPr>
                      </m:sSupPr>
                      <m:e>
                        <m:r>
                          <w:rPr>
                            <w:rFonts w:ascii="Cambria Math" w:eastAsiaTheme="minorEastAsia" w:hAnsi="Cambria Math"/>
                          </w:rPr>
                          <m:t>θ</m:t>
                        </m:r>
                      </m:e>
                      <m: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6,i</m:t>
                            </m:r>
                          </m:sub>
                        </m:sSub>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14:paraId="04529C26"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11</w:t>
            </w:r>
            <w:r w:rsidR="006916B9">
              <w:rPr>
                <w:noProof/>
              </w:rPr>
              <w:fldChar w:fldCharType="end"/>
            </w:r>
            <w:r>
              <w:t>)</w:t>
            </w:r>
          </w:p>
        </w:tc>
      </w:tr>
    </w:tbl>
    <w:p w14:paraId="70B31580" w14:textId="77777777" w:rsidR="00BA23C7" w:rsidRDefault="00BA23C7" w:rsidP="00BA23C7">
      <w:pPr>
        <w:spacing w:after="0"/>
        <w:jc w:val="both"/>
      </w:pPr>
      <w:r w:rsidRPr="00900165">
        <w:t>Ensuite, la largeur de la ligne est modifiée pour tenir compte de la division Zeeman des lignes d'absorption de l'oxygène et de l'élargissement Doppler des lignes d'absorption de la vapeur d'eau,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BA23C7" w14:paraId="5CA6A1B8" w14:textId="77777777" w:rsidTr="00CE6F3D">
        <w:trPr>
          <w:trHeight w:val="624"/>
        </w:trPr>
        <w:tc>
          <w:tcPr>
            <w:tcW w:w="740" w:type="pct"/>
            <w:vAlign w:val="center"/>
          </w:tcPr>
          <w:p w14:paraId="214CBD1F" w14:textId="77777777" w:rsidR="00BA23C7" w:rsidRDefault="00BA23C7" w:rsidP="00CE6F3D">
            <w:pPr>
              <w:jc w:val="center"/>
            </w:pPr>
          </w:p>
        </w:tc>
        <w:tc>
          <w:tcPr>
            <w:tcW w:w="3521" w:type="pct"/>
            <w:vAlign w:val="center"/>
          </w:tcPr>
          <w:p w14:paraId="18001E37" w14:textId="77777777" w:rsidR="00BA23C7" w:rsidRDefault="00BA23C7" w:rsidP="00CE6F3D">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 xml:space="preserve">ox,i </m:t>
                        </m:r>
                      </m:sub>
                      <m:sup>
                        <m:r>
                          <w:rPr>
                            <w:rFonts w:ascii="Cambria Math" w:hAnsi="Cambria Math"/>
                          </w:rPr>
                          <m:t>2</m:t>
                        </m:r>
                      </m:sup>
                    </m:sSubSup>
                    <m:r>
                      <w:rPr>
                        <w:rFonts w:ascii="Cambria Math" w:hAnsi="Cambria Math"/>
                      </w:rPr>
                      <m:t>+2.25</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e>
                </m:rad>
              </m:oMath>
            </m:oMathPara>
          </w:p>
        </w:tc>
        <w:tc>
          <w:tcPr>
            <w:tcW w:w="739" w:type="pct"/>
            <w:vAlign w:val="center"/>
          </w:tcPr>
          <w:p w14:paraId="5793D030"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12</w:t>
            </w:r>
            <w:r w:rsidR="006916B9">
              <w:rPr>
                <w:noProof/>
              </w:rPr>
              <w:fldChar w:fldCharType="end"/>
            </w:r>
            <w:r>
              <w:t>)</w:t>
            </w:r>
          </w:p>
        </w:tc>
      </w:tr>
      <w:tr w:rsidR="00BA23C7" w14:paraId="3B3DDE45" w14:textId="77777777" w:rsidTr="00CE6F3D">
        <w:trPr>
          <w:trHeight w:val="624"/>
        </w:trPr>
        <w:tc>
          <w:tcPr>
            <w:tcW w:w="740" w:type="pct"/>
            <w:vAlign w:val="center"/>
          </w:tcPr>
          <w:p w14:paraId="7F96F957" w14:textId="77777777" w:rsidR="00BA23C7" w:rsidRDefault="00BA23C7" w:rsidP="00CE6F3D">
            <w:pPr>
              <w:jc w:val="center"/>
            </w:pPr>
          </w:p>
        </w:tc>
        <w:tc>
          <w:tcPr>
            <w:tcW w:w="3521" w:type="pct"/>
            <w:vAlign w:val="center"/>
          </w:tcPr>
          <w:p w14:paraId="5DE87537" w14:textId="77777777" w:rsidR="00BA23C7" w:rsidRDefault="00BA23C7" w:rsidP="00CE6F3D">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 0.535</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ad>
                  <m:radPr>
                    <m:degHide m:val="1"/>
                    <m:ctrlPr>
                      <w:rPr>
                        <w:rFonts w:ascii="Cambria Math" w:hAnsi="Cambria Math"/>
                        <w:i/>
                      </w:rPr>
                    </m:ctrlPr>
                  </m:radPr>
                  <m:deg/>
                  <m:e>
                    <m:eqArr>
                      <m:eqArrPr>
                        <m:ctrlPr>
                          <w:rPr>
                            <w:rFonts w:ascii="Cambria Math" w:hAnsi="Cambria Math"/>
                          </w:rPr>
                        </m:ctrlPr>
                      </m:eqArrPr>
                      <m:e>
                        <m:r>
                          <m:rPr>
                            <m:sty m:val="p"/>
                          </m:rPr>
                          <w:rPr>
                            <w:rFonts w:ascii="Cambria Math" w:hAnsi="Cambria Math"/>
                          </w:rPr>
                          <m:t>0.217Δ</m:t>
                        </m:r>
                        <m:sSubSup>
                          <m:sSubSupPr>
                            <m:ctrlPr>
                              <w:rPr>
                                <w:rFonts w:ascii="Cambria Math" w:hAnsi="Cambria Math"/>
                                <w:i/>
                              </w:rPr>
                            </m:ctrlPr>
                          </m:sSubSupPr>
                          <m:e>
                            <m:r>
                              <m:rPr>
                                <m:sty m:val="p"/>
                              </m:rPr>
                              <w:rPr>
                                <w:rFonts w:ascii="Cambria Math" w:hAnsi="Cambria Math"/>
                              </w:rPr>
                              <m:t>f</m:t>
                            </m:r>
                            <m:ctrlPr>
                              <w:rPr>
                                <w:rFonts w:ascii="Cambria Math" w:hAnsi="Cambria Math"/>
                              </w:rPr>
                            </m:ctrlPr>
                          </m:e>
                          <m:sub>
                            <m:r>
                              <m:rPr>
                                <m:sty m:val="p"/>
                              </m:rPr>
                              <w:rPr>
                                <w:rFonts w:ascii="Cambria Math" w:hAnsi="Cambria Math"/>
                              </w:rPr>
                              <m:t>wv,i</m:t>
                            </m:r>
                            <m:ctrlPr>
                              <w:rPr>
                                <w:rFonts w:ascii="Cambria Math" w:hAnsi="Cambria Math"/>
                              </w:rPr>
                            </m:ctrlPr>
                          </m:sub>
                          <m:sup>
                            <m:r>
                              <w:rPr>
                                <w:rFonts w:ascii="Cambria Math" w:hAnsi="Cambria Math"/>
                              </w:rPr>
                              <m:t>2</m:t>
                            </m:r>
                          </m:sup>
                        </m:sSubSup>
                        <m:f>
                          <m:fPr>
                            <m:ctrlPr>
                              <w:rPr>
                                <w:rFonts w:ascii="Cambria Math" w:hAnsi="Cambria Math"/>
                                <w:i/>
                              </w:rPr>
                            </m:ctrlPr>
                          </m:fPr>
                          <m:num>
                            <m:r>
                              <w:rPr>
                                <w:rFonts w:ascii="Cambria Math" w:hAnsi="Cambria Math"/>
                              </w:rPr>
                              <m:t>2.1316</m:t>
                            </m:r>
                            <m:sSup>
                              <m:sSupPr>
                                <m:ctrlPr>
                                  <w:rPr>
                                    <w:rFonts w:ascii="Cambria Math" w:hAnsi="Cambria Math"/>
                                    <w:i/>
                                  </w:rPr>
                                </m:ctrlPr>
                              </m:sSupPr>
                              <m:e>
                                <m:r>
                                  <w:rPr>
                                    <w:rFonts w:ascii="Cambria Math" w:hAnsi="Cambria Math"/>
                                  </w:rPr>
                                  <m:t>e</m:t>
                                </m:r>
                              </m:e>
                              <m:sup>
                                <m:r>
                                  <w:rPr>
                                    <w:rFonts w:ascii="Cambria Math" w:hAnsi="Cambria Math"/>
                                  </w:rPr>
                                  <m:t>-12</m:t>
                                </m:r>
                              </m:sup>
                            </m:sSup>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num>
                          <m:den>
                            <m:r>
                              <w:rPr>
                                <w:rFonts w:ascii="Cambria Math" w:hAnsi="Cambria Math"/>
                              </w:rPr>
                              <m:t>θ</m:t>
                            </m:r>
                          </m:den>
                        </m:f>
                        <m:ctrlPr>
                          <w:rPr>
                            <w:rFonts w:ascii="Cambria Math" w:hAnsi="Cambria Math"/>
                            <w:i/>
                          </w:rPr>
                        </m:ctrlPr>
                      </m:e>
                      <m:e>
                        <m:r>
                          <w:rPr>
                            <w:rFonts w:ascii="Cambria Math" w:hAnsi="Cambria Math"/>
                          </w:rPr>
                          <m:t xml:space="preserve"> </m:t>
                        </m:r>
                        <m:ctrlPr>
                          <w:rPr>
                            <w:rFonts w:ascii="Cambria Math" w:hAnsi="Cambria Math"/>
                            <w:i/>
                          </w:rPr>
                        </m:ctrlPr>
                      </m:e>
                    </m:eqArr>
                  </m:e>
                </m:rad>
              </m:oMath>
            </m:oMathPara>
          </w:p>
        </w:tc>
        <w:tc>
          <w:tcPr>
            <w:tcW w:w="739" w:type="pct"/>
            <w:vAlign w:val="center"/>
          </w:tcPr>
          <w:p w14:paraId="39E5AD80" w14:textId="77777777" w:rsidR="00BA23C7" w:rsidRDefault="00BA23C7" w:rsidP="00CE6F3D">
            <w:pPr>
              <w:keepNext/>
              <w:jc w:val="center"/>
            </w:pPr>
            <w:r>
              <w:t xml:space="preserve">(1. </w:t>
            </w:r>
            <w:r w:rsidR="006916B9">
              <w:fldChar w:fldCharType="begin"/>
            </w:r>
            <w:r w:rsidR="006916B9">
              <w:instrText xml:space="preserve"> SEQ 1. \* ARABIC </w:instrText>
            </w:r>
            <w:r w:rsidR="006916B9">
              <w:fldChar w:fldCharType="separate"/>
            </w:r>
            <w:r>
              <w:rPr>
                <w:noProof/>
              </w:rPr>
              <w:t>13</w:t>
            </w:r>
            <w:r w:rsidR="006916B9">
              <w:rPr>
                <w:noProof/>
              </w:rPr>
              <w:fldChar w:fldCharType="end"/>
            </w:r>
            <w:r>
              <w:t>)</w:t>
            </w:r>
          </w:p>
        </w:tc>
      </w:tr>
    </w:tbl>
    <w:p w14:paraId="4F84BD94" w14:textId="77777777" w:rsidR="00BA23C7" w:rsidRDefault="00BA23C7" w:rsidP="00BA23C7">
      <w:pPr>
        <w:jc w:val="both"/>
        <w:rPr>
          <w:rFonts w:eastAsiaTheme="minorEastAsia"/>
        </w:rPr>
      </w:pPr>
      <w:r w:rsidRPr="00900165">
        <w:rPr>
          <w:rFonts w:eastAsiaTheme="minorEastAsia"/>
        </w:rPr>
        <w:t xml:space="preserve">La procédure décrite ci-dessus est valable pour l'ensemble de l'atmosphère pour des fréquences allant jusqu'à 1000 </w:t>
      </w:r>
      <w:r>
        <w:rPr>
          <w:rFonts w:eastAsiaTheme="minorEastAsia"/>
        </w:rPr>
        <w:t>[</w:t>
      </w:r>
      <w:r w:rsidRPr="00900165">
        <w:rPr>
          <w:rFonts w:eastAsiaTheme="minorEastAsia"/>
        </w:rPr>
        <w:t>GHz</w:t>
      </w:r>
      <w:r>
        <w:rPr>
          <w:rFonts w:eastAsiaTheme="minorEastAsia"/>
        </w:rPr>
        <w:t>]</w:t>
      </w:r>
      <w:r w:rsidRPr="00900165">
        <w:rPr>
          <w:rFonts w:eastAsiaTheme="minorEastAsia"/>
        </w:rPr>
        <w:t>.</w:t>
      </w:r>
      <w:r>
        <w:rPr>
          <w:rFonts w:eastAsiaTheme="minorEastAsia"/>
        </w:rPr>
        <w:t xml:space="preserve"> </w:t>
      </w:r>
    </w:p>
    <w:p w14:paraId="148D1EE1" w14:textId="3269BFAB" w:rsidR="00A12EEB" w:rsidRDefault="00BA23C7" w:rsidP="0053139B">
      <w:pPr>
        <w:jc w:val="both"/>
      </w:pPr>
      <w:r>
        <w:rPr>
          <w:rFonts w:eastAsiaTheme="minorEastAsia"/>
        </w:rPr>
        <w:t xml:space="preserve">Pour résumer, le calcul de l’atténuation spécifique due aux gaz atmosphériques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à l’aide du modèle présenté dans </w:t>
      </w:r>
      <w:r w:rsidRPr="00B55A82">
        <w:t>la Recommandation ITU-R P.676-12</w:t>
      </w:r>
      <w:r>
        <w:t xml:space="preserve"> nécessite en entrée la température </w:t>
      </w:r>
      <m:oMath>
        <m:r>
          <w:rPr>
            <w:rFonts w:ascii="Cambria Math" w:hAnsi="Cambria Math"/>
          </w:rPr>
          <m:t>T</m:t>
        </m:r>
      </m:oMath>
      <w:r>
        <w:rPr>
          <w:rFonts w:eastAsiaTheme="minorEastAsia"/>
        </w:rPr>
        <w:t xml:space="preserve">, la pression partielle de la vapeur d’eau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Pr>
          <w:rFonts w:eastAsiaTheme="minorEastAsia"/>
        </w:rPr>
        <w:t xml:space="preserve"> et la pression de l’air sec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Pr>
          <w:rFonts w:eastAsiaTheme="minorEastAsia"/>
        </w:rPr>
        <w:t>.</w:t>
      </w:r>
    </w:p>
    <w:p w14:paraId="13E30FDA" w14:textId="08E3DF3D" w:rsidR="00A12EEB" w:rsidRDefault="00A12EEB" w:rsidP="00A12EEB"/>
    <w:p w14:paraId="1C63A063" w14:textId="7B5DDAF9" w:rsidR="006505E6" w:rsidRDefault="006505E6" w:rsidP="006505E6">
      <w:pPr>
        <w:pStyle w:val="Titre2"/>
        <w:numPr>
          <w:ilvl w:val="1"/>
          <w:numId w:val="1"/>
        </w:numPr>
      </w:pPr>
      <w:r>
        <w:t xml:space="preserve">Modèle </w:t>
      </w:r>
      <w:r w:rsidR="00A12EEB">
        <w:t xml:space="preserve">ITU-R </w:t>
      </w:r>
      <w:r>
        <w:t>d’atténuation due aux nuages</w:t>
      </w:r>
    </w:p>
    <w:p w14:paraId="5AA6802F" w14:textId="4090837C" w:rsidR="0053139B" w:rsidRDefault="0053139B" w:rsidP="0053139B"/>
    <w:p w14:paraId="6A2E5A86" w14:textId="77777777" w:rsidR="0053139B" w:rsidRDefault="0053139B" w:rsidP="0053139B">
      <w:pPr>
        <w:spacing w:after="0"/>
        <w:jc w:val="both"/>
      </w:pPr>
      <w:r>
        <w:lastRenderedPageBreak/>
        <w:t xml:space="preserve">Les nuages se composent de minuscules gouttelettes d'eau en suspension, et leur capacité à provoquer une atténuation peut être déterminée avec une précision raisonnable grâce au modèle de diffusion des ondes électromagnétiques de Rayleigh. La Recommandation ITU-R P.840-8 propose une méthode rigoureuse pour extraire le coefficient d'atténuation spécifique de l'eau liquide des nuages, noté </w:t>
      </w:r>
      <m:oMath>
        <m:sSub>
          <m:sSubPr>
            <m:ctrlPr>
              <w:rPr>
                <w:rFonts w:ascii="Cambria Math" w:hAnsi="Cambria Math"/>
                <w:i/>
              </w:rPr>
            </m:ctrlPr>
          </m:sSubPr>
          <m:e>
            <m:r>
              <w:rPr>
                <w:rFonts w:ascii="Cambria Math" w:hAnsi="Cambria Math"/>
              </w:rPr>
              <m:t>K</m:t>
            </m:r>
          </m:e>
          <m:sub>
            <m:r>
              <w:rPr>
                <w:rFonts w:ascii="Cambria Math" w:hAnsi="Cambria Math"/>
              </w:rPr>
              <m:t>cl</m:t>
            </m:r>
          </m:sub>
        </m:sSub>
      </m:oMath>
      <w:r>
        <w:t xml:space="preserve">, lequel dépend exclusivement de la fréquence et de la température. En multipliant ce coefficient par la densité d'eau liquide des nuages, notée </w:t>
      </w:r>
      <m:oMath>
        <m:sSub>
          <m:sSubPr>
            <m:ctrlPr>
              <w:rPr>
                <w:rFonts w:ascii="Cambria Math" w:hAnsi="Cambria Math"/>
                <w:i/>
              </w:rPr>
            </m:ctrlPr>
          </m:sSubPr>
          <m:e>
            <m:r>
              <w:rPr>
                <w:rFonts w:ascii="Cambria Math" w:hAnsi="Cambria Math"/>
              </w:rPr>
              <m:t>ρ</m:t>
            </m:r>
          </m:e>
          <m:sub>
            <m:r>
              <w:rPr>
                <w:rFonts w:ascii="Cambria Math" w:hAnsi="Cambria Math"/>
              </w:rPr>
              <m:t>cl</m:t>
            </m:r>
          </m:sub>
        </m:sSub>
      </m:oMath>
      <w:r>
        <w:t xml:space="preserve">, on obtient l'atténuation spécifique des nuages, notée </w:t>
      </w:r>
      <m:oMath>
        <m:sSub>
          <m:sSubPr>
            <m:ctrlPr>
              <w:rPr>
                <w:rFonts w:ascii="Cambria Math" w:hAnsi="Cambria Math" w:cs="Cambria Math"/>
                <w:i/>
              </w:rPr>
            </m:ctrlPr>
          </m:sSubPr>
          <m:e>
            <m:r>
              <w:rPr>
                <w:rFonts w:ascii="Cambria Math" w:hAnsi="Cambria Math" w:cs="Cambria Math"/>
              </w:rPr>
              <m:t>γ</m:t>
            </m:r>
          </m:e>
          <m:sub>
            <m:r>
              <w:rPr>
                <w:rFonts w:ascii="Cambria Math" w:hAnsi="Cambria Math" w:cs="Cambria Math"/>
              </w:rPr>
              <m:t>cl</m:t>
            </m:r>
          </m:sub>
        </m:sSub>
      </m:oMath>
      <w:r>
        <w:t>. L'atténuation causée par les nuages est ensuite calculée en intégrant cette atténuation spécifique tout au long du parcours de l’onde.</w:t>
      </w:r>
    </w:p>
    <w:p w14:paraId="0F53A791" w14:textId="77777777" w:rsidR="0053139B" w:rsidRDefault="0053139B" w:rsidP="0053139B">
      <w:pPr>
        <w:spacing w:after="0"/>
        <w:jc w:val="both"/>
        <w:rPr>
          <w:rFonts w:cstheme="minorHAnsi"/>
        </w:rPr>
      </w:pPr>
      <w:r w:rsidRPr="009D1008">
        <w:rPr>
          <w:rFonts w:cstheme="minorHAnsi"/>
        </w:rPr>
        <w:t>L'atténuation spécifique due aux nuages peut être exprimée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53139B" w14:paraId="035EF31F" w14:textId="77777777" w:rsidTr="00CE6F3D">
        <w:trPr>
          <w:trHeight w:val="624"/>
        </w:trPr>
        <w:tc>
          <w:tcPr>
            <w:tcW w:w="740" w:type="pct"/>
            <w:vAlign w:val="center"/>
          </w:tcPr>
          <w:p w14:paraId="175013D6" w14:textId="77777777" w:rsidR="0053139B" w:rsidRDefault="0053139B" w:rsidP="00CE6F3D">
            <w:pPr>
              <w:jc w:val="center"/>
            </w:pPr>
          </w:p>
        </w:tc>
        <w:tc>
          <w:tcPr>
            <w:tcW w:w="3521" w:type="pct"/>
            <w:vAlign w:val="center"/>
          </w:tcPr>
          <w:p w14:paraId="7615A805" w14:textId="77777777" w:rsidR="0053139B" w:rsidRDefault="006916B9" w:rsidP="00CE6F3D">
            <w:pPr>
              <w:jc w:val="cente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r>
                  <w:rPr>
                    <w:rFonts w:ascii="Cambria Math" w:eastAsiaTheme="minorEastAsia" w:hAnsi="Cambria Math" w:cstheme="minorHAnsi"/>
                  </w:rPr>
                  <m:t xml:space="preserve"> </m:t>
                </m:r>
              </m:oMath>
            </m:oMathPara>
          </w:p>
        </w:tc>
        <w:tc>
          <w:tcPr>
            <w:tcW w:w="739" w:type="pct"/>
            <w:vAlign w:val="center"/>
          </w:tcPr>
          <w:p w14:paraId="37DBB942" w14:textId="77777777" w:rsidR="0053139B" w:rsidRDefault="0053139B" w:rsidP="00CE6F3D">
            <w:pPr>
              <w:keepNext/>
              <w:jc w:val="center"/>
            </w:pPr>
            <w:r>
              <w:t xml:space="preserve">(1. </w:t>
            </w:r>
            <w:r w:rsidR="006916B9">
              <w:fldChar w:fldCharType="begin"/>
            </w:r>
            <w:r w:rsidR="006916B9">
              <w:instrText xml:space="preserve"> SEQ 1. \* ARABIC </w:instrText>
            </w:r>
            <w:r w:rsidR="006916B9">
              <w:fldChar w:fldCharType="separate"/>
            </w:r>
            <w:r>
              <w:rPr>
                <w:noProof/>
              </w:rPr>
              <w:t>14</w:t>
            </w:r>
            <w:r w:rsidR="006916B9">
              <w:rPr>
                <w:noProof/>
              </w:rPr>
              <w:fldChar w:fldCharType="end"/>
            </w:r>
            <w:r>
              <w:t>)</w:t>
            </w:r>
          </w:p>
        </w:tc>
      </w:tr>
    </w:tbl>
    <w:p w14:paraId="6CA18D14" w14:textId="77777777" w:rsidR="0053139B" w:rsidRDefault="0053139B" w:rsidP="0053139B">
      <w:pPr>
        <w:jc w:val="both"/>
        <w:rPr>
          <w:rFonts w:cstheme="minorHAnsi"/>
        </w:rPr>
      </w:pPr>
      <w:r>
        <w:rPr>
          <w:rFonts w:eastAsiaTheme="minorEastAsia" w:cstheme="minorHAnsi"/>
        </w:rPr>
        <w:t>Où</w:t>
      </w:r>
      <w:r w:rsidRPr="00C7496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oMath>
      <w:r>
        <w:rPr>
          <w:rFonts w:eastAsiaTheme="minorEastAsia" w:cstheme="minorHAnsi"/>
        </w:rPr>
        <w:t xml:space="preserve"> </w:t>
      </w:r>
      <w:r w:rsidRPr="00C74961">
        <w:rPr>
          <w:rFonts w:eastAsiaTheme="minorEastAsia" w:cstheme="minorHAnsi"/>
        </w:rPr>
        <w:t xml:space="preserve">représente l'atténuation spécifique due aux nuages en </w:t>
      </w:r>
      <w:r>
        <w:rPr>
          <w:rFonts w:eastAsiaTheme="minorEastAsia" w:cstheme="minorHAnsi"/>
        </w:rPr>
        <w:t>[</w:t>
      </w:r>
      <w:r>
        <w:rPr>
          <w:rFonts w:ascii="Cambria Math" w:eastAsiaTheme="minorEastAsia" w:hAnsi="Cambria Math" w:cs="Cambria Math"/>
        </w:rPr>
        <w:t>dB.km</w:t>
      </w:r>
      <w:r w:rsidRPr="000F2F91">
        <w:rPr>
          <w:rFonts w:ascii="Cambria Math" w:eastAsiaTheme="minorEastAsia" w:hAnsi="Cambria Math" w:cs="Cambria Math"/>
          <w:vertAlign w:val="superscript"/>
        </w:rPr>
        <w:t>-1</w:t>
      </w:r>
      <w:r>
        <w:rPr>
          <w:rFonts w:ascii="Cambria Math" w:eastAsiaTheme="minorEastAsia" w:hAnsi="Cambria Math" w:cs="Cambria Math"/>
        </w:rPr>
        <w:t>]</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oMath>
      <w:r>
        <w:rPr>
          <w:rFonts w:eastAsiaTheme="minorEastAsia" w:cstheme="minorHAnsi"/>
        </w:rPr>
        <w:t xml:space="preserve"> </w:t>
      </w:r>
      <w:r w:rsidRPr="00C74961">
        <w:rPr>
          <w:rFonts w:eastAsiaTheme="minorEastAsia" w:cstheme="minorHAnsi"/>
        </w:rPr>
        <w:t xml:space="preserve">est le coefficient d'atténuation spécifique de l'eau liquide dans les nuages en </w:t>
      </w:r>
      <w:r>
        <w:t>[dB.km</w:t>
      </w:r>
      <w:r w:rsidRPr="00185B75">
        <w:rPr>
          <w:vertAlign w:val="superscript"/>
        </w:rPr>
        <w:t>-1</w:t>
      </w:r>
      <w:r>
        <w:t>.g</w:t>
      </w:r>
      <w:r w:rsidRPr="000F2F91">
        <w:rPr>
          <w:vertAlign w:val="superscript"/>
        </w:rPr>
        <w:t>-1</w:t>
      </w:r>
      <w:r>
        <w:t>.m</w:t>
      </w:r>
      <w:r w:rsidRPr="00185B75">
        <w:rPr>
          <w:vertAlign w:val="superscript"/>
        </w:rPr>
        <w:t>3</w:t>
      </w:r>
      <w:r>
        <w:t xml:space="preserve">],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Pr>
          <w:rFonts w:eastAsiaTheme="minorEastAsia" w:cstheme="minorHAnsi"/>
        </w:rPr>
        <w:t xml:space="preserve"> est la masse</w:t>
      </w:r>
      <w:r w:rsidRPr="00C74961">
        <w:rPr>
          <w:rFonts w:eastAsiaTheme="minorEastAsia" w:cstheme="minorHAnsi"/>
        </w:rPr>
        <w:t xml:space="preserve"> en eau liquide </w:t>
      </w:r>
      <w:r>
        <w:rPr>
          <w:rFonts w:eastAsiaTheme="minorEastAsia" w:cstheme="minorHAnsi"/>
        </w:rPr>
        <w:t xml:space="preserve">des gouttelettes </w:t>
      </w:r>
      <w:r w:rsidRPr="00C74961">
        <w:rPr>
          <w:rFonts w:eastAsiaTheme="minorEastAsia" w:cstheme="minorHAnsi"/>
        </w:rPr>
        <w:t xml:space="preserve">dans le nuage </w:t>
      </w:r>
      <w:r>
        <w:rPr>
          <w:rFonts w:eastAsiaTheme="minorEastAsia" w:cstheme="minorHAnsi"/>
        </w:rPr>
        <w:t xml:space="preserve">par unité de volume </w:t>
      </w:r>
      <w:r w:rsidRPr="00C74961">
        <w:rPr>
          <w:rFonts w:eastAsiaTheme="minorEastAsia" w:cstheme="minorHAnsi"/>
        </w:rPr>
        <w:t xml:space="preserve">en </w:t>
      </w:r>
      <w:r>
        <w:rPr>
          <w:rFonts w:eastAsiaTheme="minorEastAsia" w:cstheme="minorHAnsi"/>
        </w:rPr>
        <w:t>[</w:t>
      </w:r>
      <w:r>
        <w:rPr>
          <w:rFonts w:ascii="Cambria Math" w:eastAsiaTheme="minorEastAsia" w:hAnsi="Cambria Math" w:cs="Cambria Math"/>
        </w:rPr>
        <w:t>g.m</w:t>
      </w:r>
      <w:r>
        <w:rPr>
          <w:rFonts w:ascii="Cambria Math" w:eastAsiaTheme="minorEastAsia" w:hAnsi="Cambria Math" w:cs="Cambria Math"/>
          <w:vertAlign w:val="superscript"/>
        </w:rPr>
        <w:t>-3</w:t>
      </w:r>
      <w:r>
        <w:rPr>
          <w:rFonts w:ascii="Cambria Math" w:eastAsiaTheme="minorEastAsia" w:hAnsi="Cambria Math" w:cs="Cambria Math"/>
        </w:rPr>
        <w:t>]</w:t>
      </w:r>
      <w:r>
        <w:rPr>
          <w:rFonts w:eastAsiaTheme="minorEastAsia" w:cstheme="minorHAnsi"/>
        </w:rPr>
        <w:t>,</w:t>
      </w:r>
      <w:r w:rsidRPr="00C74961">
        <w:rPr>
          <w:rFonts w:eastAsiaTheme="minorEastAsia" w:cstheme="minorHAnsi"/>
        </w:rPr>
        <w:t xml:space="preserve"> </w:t>
      </w:r>
      <m:oMath>
        <m:r>
          <w:rPr>
            <w:rFonts w:ascii="Cambria Math" w:eastAsiaTheme="minorEastAsia" w:hAnsi="Cambria Math" w:cs="Cambria Math"/>
          </w:rPr>
          <m:t>f</m:t>
        </m:r>
      </m:oMath>
      <w:r w:rsidRPr="00C74961">
        <w:rPr>
          <w:rFonts w:eastAsiaTheme="minorEastAsia" w:cstheme="minorHAnsi"/>
        </w:rPr>
        <w:t xml:space="preserve"> est la fréquence en </w:t>
      </w:r>
      <w:r>
        <w:rPr>
          <w:rFonts w:eastAsiaTheme="minorEastAsia" w:cstheme="minorHAnsi"/>
        </w:rPr>
        <w:t>[</w:t>
      </w:r>
      <w:r>
        <w:rPr>
          <w:rFonts w:ascii="Cambria Math" w:eastAsiaTheme="minorEastAsia" w:hAnsi="Cambria Math" w:cs="Cambria Math"/>
        </w:rPr>
        <w:t>GHz]</w:t>
      </w:r>
      <w:r>
        <w:rPr>
          <w:rFonts w:eastAsiaTheme="minorEastAsia" w:cstheme="minorHAnsi"/>
        </w:rPr>
        <w:t xml:space="preserve">, </w:t>
      </w:r>
      <m:oMath>
        <m:r>
          <w:rPr>
            <w:rFonts w:ascii="Cambria Math" w:eastAsiaTheme="minorEastAsia" w:hAnsi="Cambria Math" w:cs="Cambria Math"/>
          </w:rPr>
          <m:t>T</m:t>
        </m:r>
      </m:oMath>
      <w:r w:rsidRPr="00C74961">
        <w:rPr>
          <w:rFonts w:eastAsiaTheme="minorEastAsia" w:cstheme="minorHAnsi"/>
        </w:rPr>
        <w:t xml:space="preserve"> est la température de l'eau liquide dans le nuage en </w:t>
      </w:r>
      <w:r>
        <w:rPr>
          <w:rFonts w:eastAsiaTheme="minorEastAsia" w:cstheme="minorHAnsi"/>
        </w:rPr>
        <w:t>[</w:t>
      </w:r>
      <w:r>
        <w:rPr>
          <w:rFonts w:ascii="Cambria Math" w:eastAsiaTheme="minorEastAsia" w:hAnsi="Cambria Math" w:cs="Cambria Math"/>
        </w:rPr>
        <w:t>K]</w:t>
      </w:r>
      <w:r w:rsidRPr="00C74961">
        <w:rPr>
          <w:rFonts w:eastAsiaTheme="minorEastAsia" w:cstheme="minorHAnsi"/>
        </w:rPr>
        <w:t>.</w:t>
      </w:r>
    </w:p>
    <w:p w14:paraId="0CAE278A" w14:textId="77777777" w:rsidR="0053139B" w:rsidRDefault="0053139B" w:rsidP="0053139B">
      <w:pPr>
        <w:spacing w:after="0"/>
        <w:jc w:val="both"/>
        <w:rPr>
          <w:rFonts w:cstheme="minorHAnsi"/>
          <w:szCs w:val="24"/>
        </w:rPr>
      </w:pPr>
      <w:r w:rsidRPr="00A03317">
        <w:rPr>
          <w:rFonts w:cstheme="minorHAnsi"/>
          <w:szCs w:val="24"/>
        </w:rPr>
        <w:t xml:space="preserve">Pour calculer la valeur de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oMath>
      <w:r w:rsidRPr="00A03317">
        <w:rPr>
          <w:rFonts w:cstheme="minorHAnsi"/>
          <w:szCs w:val="24"/>
        </w:rPr>
        <w:t xml:space="preserve">, un modèle mathématique basé sur la diffusion de Rayleigh, qui utilise un modèle double Debye pour la permittivité diélectrique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Pr="00A03317">
        <w:rPr>
          <w:rFonts w:cstheme="minorHAnsi"/>
          <w:szCs w:val="24"/>
        </w:rPr>
        <w:t xml:space="preserve">, est </w:t>
      </w:r>
      <w:r>
        <w:rPr>
          <w:rFonts w:cstheme="minorHAnsi"/>
          <w:szCs w:val="24"/>
        </w:rPr>
        <w:t xml:space="preserve">proposé par la Recommandation </w:t>
      </w:r>
      <w:r w:rsidRPr="00A03317">
        <w:rPr>
          <w:rFonts w:cstheme="minorHAnsi"/>
          <w:szCs w:val="24"/>
        </w:rPr>
        <w:t xml:space="preserve"> </w:t>
      </w:r>
      <w:r>
        <w:t>ITU-R P.840-8</w:t>
      </w:r>
      <w:r w:rsidRPr="00A03317">
        <w:rPr>
          <w:rFonts w:cstheme="minorHAnsi"/>
          <w:szCs w:val="24"/>
        </w:rP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53139B" w14:paraId="4796DF7A" w14:textId="77777777" w:rsidTr="00CE6F3D">
        <w:trPr>
          <w:trHeight w:val="624"/>
        </w:trPr>
        <w:tc>
          <w:tcPr>
            <w:tcW w:w="740" w:type="pct"/>
            <w:vAlign w:val="center"/>
          </w:tcPr>
          <w:p w14:paraId="102F8292" w14:textId="77777777" w:rsidR="0053139B" w:rsidRDefault="0053139B" w:rsidP="00CE6F3D">
            <w:pPr>
              <w:jc w:val="center"/>
            </w:pPr>
          </w:p>
        </w:tc>
        <w:tc>
          <w:tcPr>
            <w:tcW w:w="3521" w:type="pct"/>
            <w:vAlign w:val="center"/>
          </w:tcPr>
          <w:p w14:paraId="09B0DFAD" w14:textId="77777777" w:rsidR="0053139B" w:rsidRDefault="006916B9" w:rsidP="00CE6F3D">
            <w:pPr>
              <w:jc w:val="cente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0.819f</m:t>
                    </m:r>
                  </m:num>
                  <m:den>
                    <m:sSubSup>
                      <m:sSubSupPr>
                        <m:ctrlPr>
                          <w:rPr>
                            <w:rFonts w:ascii="Cambria Math" w:hAnsi="Cambria Math" w:cstheme="minorHAnsi"/>
                            <w:i/>
                          </w:rPr>
                        </m:ctrlPr>
                      </m:sSubSupPr>
                      <m:e>
                        <m:r>
                          <w:rPr>
                            <w:rFonts w:ascii="Cambria Math" w:hAnsi="Cambria Math" w:cstheme="minorHAnsi"/>
                          </w:rPr>
                          <m:t>ε</m:t>
                        </m:r>
                      </m:e>
                      <m:sub>
                        <m:r>
                          <w:rPr>
                            <w:rFonts w:ascii="Cambria Math" w:hAnsi="Cambria Math" w:cstheme="minorHAnsi"/>
                          </w:rPr>
                          <m:t>w</m:t>
                        </m:r>
                      </m:sub>
                      <m:sup>
                        <m:r>
                          <w:rPr>
                            <w:rFonts w:ascii="Cambria Math" w:hAnsi="Cambria Math" w:cstheme="minorHAnsi"/>
                          </w:rPr>
                          <m:t>''</m:t>
                        </m:r>
                      </m:sup>
                    </m:sSubSup>
                    <m:d>
                      <m:dPr>
                        <m:ctrlPr>
                          <w:rPr>
                            <w:rFonts w:ascii="Cambria Math" w:hAnsi="Cambria Math" w:cstheme="minorHAnsi"/>
                            <w:i/>
                          </w:rPr>
                        </m:ctrlPr>
                      </m:d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η</m:t>
                            </m:r>
                          </m:e>
                          <m:sup>
                            <m:r>
                              <w:rPr>
                                <w:rFonts w:ascii="Cambria Math" w:hAnsi="Cambria Math" w:cstheme="minorHAnsi"/>
                              </w:rPr>
                              <m:t>2</m:t>
                            </m:r>
                          </m:sup>
                        </m:sSup>
                      </m:e>
                    </m:d>
                  </m:den>
                </m:f>
                <m:r>
                  <w:rPr>
                    <w:rFonts w:ascii="Cambria Math" w:hAnsi="Cambria Math" w:cstheme="minorHAnsi"/>
                  </w:rPr>
                  <m:t xml:space="preserve"> </m:t>
                </m:r>
              </m:oMath>
            </m:oMathPara>
          </w:p>
        </w:tc>
        <w:tc>
          <w:tcPr>
            <w:tcW w:w="739" w:type="pct"/>
            <w:vAlign w:val="center"/>
          </w:tcPr>
          <w:p w14:paraId="6181B202" w14:textId="77777777" w:rsidR="0053139B" w:rsidRDefault="0053139B" w:rsidP="00CE6F3D">
            <w:pPr>
              <w:keepNext/>
              <w:jc w:val="center"/>
            </w:pPr>
            <w:r>
              <w:t xml:space="preserve">(1. </w:t>
            </w:r>
            <w:r w:rsidR="006916B9">
              <w:fldChar w:fldCharType="begin"/>
            </w:r>
            <w:r w:rsidR="006916B9">
              <w:instrText xml:space="preserve"> SEQ 1. \* ARABIC </w:instrText>
            </w:r>
            <w:r w:rsidR="006916B9">
              <w:fldChar w:fldCharType="separate"/>
            </w:r>
            <w:r>
              <w:rPr>
                <w:noProof/>
              </w:rPr>
              <w:t>15</w:t>
            </w:r>
            <w:r w:rsidR="006916B9">
              <w:rPr>
                <w:noProof/>
              </w:rPr>
              <w:fldChar w:fldCharType="end"/>
            </w:r>
            <w:r>
              <w:t>)</w:t>
            </w:r>
          </w:p>
        </w:tc>
      </w:tr>
    </w:tbl>
    <w:p w14:paraId="0208229E" w14:textId="77777777" w:rsidR="0053139B" w:rsidRDefault="0053139B" w:rsidP="0053139B">
      <w:pPr>
        <w:spacing w:after="0"/>
        <w:jc w:val="both"/>
        <w:rPr>
          <w:rFonts w:eastAsiaTheme="minorEastAsia" w:cstheme="minorHAnsi"/>
        </w:rPr>
      </w:pPr>
      <w:r>
        <w:rPr>
          <w:rFonts w:eastAsiaTheme="minorEastAsia" w:cstheme="minorHAnsi"/>
        </w:rPr>
        <w:t>Avec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53139B" w14:paraId="43A3A5E9" w14:textId="77777777" w:rsidTr="00CE6F3D">
        <w:trPr>
          <w:trHeight w:val="624"/>
        </w:trPr>
        <w:tc>
          <w:tcPr>
            <w:tcW w:w="740" w:type="pct"/>
            <w:vAlign w:val="center"/>
          </w:tcPr>
          <w:p w14:paraId="0D24ABF8" w14:textId="77777777" w:rsidR="0053139B" w:rsidRDefault="0053139B" w:rsidP="00CE6F3D">
            <w:pPr>
              <w:jc w:val="center"/>
            </w:pPr>
          </w:p>
        </w:tc>
        <w:tc>
          <w:tcPr>
            <w:tcW w:w="3521" w:type="pct"/>
            <w:vAlign w:val="center"/>
          </w:tcPr>
          <w:p w14:paraId="52E5EEC9" w14:textId="77777777" w:rsidR="0053139B" w:rsidRDefault="0053139B" w:rsidP="00CE6F3D">
            <w:pPr>
              <w:jc w:val="center"/>
            </w:pPr>
            <m:oMathPara>
              <m:oMath>
                <m:r>
                  <w:rPr>
                    <w:rFonts w:ascii="Cambria Math" w:eastAsiaTheme="minorEastAsia" w:hAnsi="Cambria Math" w:cstheme="minorHAnsi"/>
                  </w:rPr>
                  <m:t>η=</m:t>
                </m:r>
                <m:f>
                  <m:fPr>
                    <m:ctrlPr>
                      <w:rPr>
                        <w:rFonts w:ascii="Cambria Math" w:eastAsiaTheme="minorEastAsia" w:hAnsi="Cambria Math" w:cstheme="minorHAnsi"/>
                        <w:i/>
                      </w:rPr>
                    </m:ctrlPr>
                  </m:fPr>
                  <m:num>
                    <m:r>
                      <w:rPr>
                        <w:rFonts w:ascii="Cambria Math" w:eastAsiaTheme="minorEastAsia" w:hAnsi="Cambria Math" w:cstheme="minorHAnsi"/>
                      </w:rPr>
                      <m:t xml:space="preserve">2 </m:t>
                    </m:r>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num>
                  <m:den>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den>
                </m:f>
                <m:r>
                  <w:rPr>
                    <w:rFonts w:ascii="Cambria Math" w:eastAsiaTheme="minorEastAsia" w:hAnsi="Cambria Math" w:cstheme="minorHAnsi"/>
                  </w:rPr>
                  <m:t xml:space="preserve"> </m:t>
                </m:r>
              </m:oMath>
            </m:oMathPara>
          </w:p>
        </w:tc>
        <w:tc>
          <w:tcPr>
            <w:tcW w:w="739" w:type="pct"/>
            <w:vAlign w:val="center"/>
          </w:tcPr>
          <w:p w14:paraId="5A066D80" w14:textId="77777777" w:rsidR="0053139B" w:rsidRDefault="0053139B" w:rsidP="00CE6F3D">
            <w:pPr>
              <w:keepNext/>
              <w:jc w:val="center"/>
            </w:pPr>
            <w:r>
              <w:t xml:space="preserve">(1. </w:t>
            </w:r>
            <w:r w:rsidR="006916B9">
              <w:fldChar w:fldCharType="begin"/>
            </w:r>
            <w:r w:rsidR="006916B9">
              <w:instrText xml:space="preserve"> SEQ 1. \* ARABIC </w:instrText>
            </w:r>
            <w:r w:rsidR="006916B9">
              <w:fldChar w:fldCharType="separate"/>
            </w:r>
            <w:r>
              <w:rPr>
                <w:noProof/>
              </w:rPr>
              <w:t>16</w:t>
            </w:r>
            <w:r w:rsidR="006916B9">
              <w:rPr>
                <w:noProof/>
              </w:rPr>
              <w:fldChar w:fldCharType="end"/>
            </w:r>
            <w:r>
              <w:t>)</w:t>
            </w:r>
          </w:p>
        </w:tc>
      </w:tr>
    </w:tbl>
    <w:p w14:paraId="7820B063" w14:textId="56EF5B7B" w:rsidR="0053139B" w:rsidRDefault="0053139B" w:rsidP="0053139B">
      <w:pPr>
        <w:jc w:val="both"/>
        <w:rPr>
          <w:rFonts w:eastAsiaTheme="minorEastAsia" w:cstheme="minorHAnsi"/>
        </w:rPr>
      </w:pPr>
      <w:r>
        <w:rPr>
          <w:rFonts w:eastAsiaTheme="minorEastAsia" w:cstheme="minorHAnsi"/>
        </w:rPr>
        <w:t xml:space="preserve">Dans ces équations,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et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sont respectivement les partie réelles et imaginaire de la permittivité diélectrique complexe de l’eau.</w:t>
      </w:r>
    </w:p>
    <w:p w14:paraId="379569A8" w14:textId="0A5CBBCE" w:rsidR="00A30742" w:rsidRDefault="00A30742" w:rsidP="0053139B">
      <w:pPr>
        <w:jc w:val="both"/>
        <w:rPr>
          <w:rFonts w:eastAsiaTheme="minorEastAsia" w:cstheme="minorHAnsi"/>
        </w:rPr>
      </w:pPr>
      <w:r w:rsidRPr="00900165">
        <w:rPr>
          <w:rFonts w:eastAsiaTheme="minorEastAsia"/>
        </w:rPr>
        <w:t xml:space="preserve">La procédure décrite ci-dessus est valable pour l'ensemble de l'atmosphère pour des fréquences </w:t>
      </w:r>
      <w:r>
        <w:rPr>
          <w:rFonts w:eastAsiaTheme="minorEastAsia"/>
        </w:rPr>
        <w:t>comprises entre 1 et 200GHz</w:t>
      </w:r>
      <w:r w:rsidRPr="00900165">
        <w:rPr>
          <w:rFonts w:eastAsiaTheme="minorEastAsia"/>
        </w:rPr>
        <w:t>.</w:t>
      </w:r>
    </w:p>
    <w:p w14:paraId="031101EB" w14:textId="191BB084" w:rsidR="0053139B" w:rsidRDefault="0053139B" w:rsidP="0053139B">
      <w:r>
        <w:rPr>
          <w:rFonts w:eastAsiaTheme="minorEastAsia"/>
        </w:rPr>
        <w:t xml:space="preserve">Pour résumer, le calcul de l’atténuation spécifique due aux nuages  </w:t>
      </w:r>
      <m:oMath>
        <m:sSub>
          <m:sSubPr>
            <m:ctrlPr>
              <w:rPr>
                <w:rFonts w:ascii="Cambria Math" w:hAnsi="Cambria Math"/>
                <w:i/>
              </w:rPr>
            </m:ctrlPr>
          </m:sSubPr>
          <m:e>
            <m:r>
              <w:rPr>
                <w:rFonts w:ascii="Cambria Math" w:hAnsi="Cambria Math"/>
              </w:rPr>
              <m:t>γ</m:t>
            </m:r>
          </m:e>
          <m:sub>
            <m:r>
              <w:rPr>
                <w:rFonts w:ascii="Cambria Math" w:hAnsi="Cambria Math"/>
              </w:rPr>
              <m:t>cl</m:t>
            </m:r>
          </m:sub>
        </m:sSub>
      </m:oMath>
      <w:r>
        <w:rPr>
          <w:rFonts w:eastAsiaTheme="minorEastAsia"/>
        </w:rPr>
        <w:t xml:space="preserve"> à l’aide du modèle présenté dans </w:t>
      </w:r>
      <w:r w:rsidRPr="00B55A82">
        <w:t xml:space="preserve">la Recommandation </w:t>
      </w:r>
      <w:r>
        <w:t xml:space="preserve">ITU-R P.840-8 nécessite en entré la température </w:t>
      </w:r>
      <m:oMath>
        <m:r>
          <w:rPr>
            <w:rFonts w:ascii="Cambria Math" w:hAnsi="Cambria Math"/>
          </w:rPr>
          <m:t>T</m:t>
        </m:r>
      </m:oMath>
      <w:r>
        <w:rPr>
          <w:rFonts w:eastAsiaTheme="minorEastAsia"/>
        </w:rPr>
        <w:t xml:space="preserve">, la pression </w:t>
      </w:r>
      <m:oMath>
        <m:r>
          <w:rPr>
            <w:rFonts w:ascii="Cambria Math" w:eastAsiaTheme="minorEastAsia" w:hAnsi="Cambria Math"/>
          </w:rPr>
          <m:t>P</m:t>
        </m:r>
      </m:oMath>
      <w:r>
        <w:rPr>
          <w:rFonts w:eastAsiaTheme="minorEastAsia"/>
        </w:rPr>
        <w:t xml:space="preserve">, la teneur en eau liquide des gouttelettes dans le nuages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Pr>
          <w:rFonts w:eastAsiaTheme="minorEastAsia"/>
        </w:rPr>
        <w:t xml:space="preserve">, les parties réelles et imaginaire de la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Pr>
          <w:rFonts w:eastAsiaTheme="minorEastAsia"/>
          <w:szCs w:val="24"/>
        </w:rPr>
        <w:t xml:space="preserve"> et la fréquence </w:t>
      </w:r>
      <m:oMath>
        <m:r>
          <w:rPr>
            <w:rFonts w:ascii="Cambria Math" w:eastAsiaTheme="minorEastAsia" w:hAnsi="Cambria Math" w:cs="Cambria Math"/>
          </w:rPr>
          <m:t>f</m:t>
        </m:r>
      </m:oMath>
      <w:r>
        <w:rPr>
          <w:rFonts w:eastAsiaTheme="minorEastAsia"/>
        </w:rPr>
        <w:t xml:space="preserve"> de la liaison.</w:t>
      </w:r>
    </w:p>
    <w:p w14:paraId="4E53D6E7" w14:textId="77777777" w:rsidR="0053139B" w:rsidRPr="0053139B" w:rsidRDefault="0053139B" w:rsidP="0053139B"/>
    <w:p w14:paraId="350CC2FE" w14:textId="2E37679A" w:rsidR="006505E6" w:rsidRPr="006505E6" w:rsidRDefault="006505E6" w:rsidP="006505E6">
      <w:pPr>
        <w:pStyle w:val="Titre2"/>
        <w:numPr>
          <w:ilvl w:val="1"/>
          <w:numId w:val="1"/>
        </w:numPr>
      </w:pPr>
      <w:r>
        <w:t>Modèle</w:t>
      </w:r>
      <w:r w:rsidR="00A12EEB">
        <w:t xml:space="preserve"> ITU-R</w:t>
      </w:r>
      <w:r>
        <w:t xml:space="preserve"> d’atténuation due aux hydrométéores</w:t>
      </w:r>
    </w:p>
    <w:p w14:paraId="45A1599F" w14:textId="77777777" w:rsidR="006505E6" w:rsidRPr="006505E6" w:rsidRDefault="006505E6" w:rsidP="006505E6"/>
    <w:p w14:paraId="04337B29" w14:textId="77777777" w:rsidR="009A1E70" w:rsidRDefault="009A1E70" w:rsidP="009A1E70">
      <w:pPr>
        <w:jc w:val="both"/>
      </w:pPr>
      <w:r>
        <w:t xml:space="preserve">Aux fréquences supérieures à 10 [GHz], l'atténuation due aux hydrométéores devient un facteur impactant dans la propagation troposphérique, quel que soit sa localisation sur la planète. Cela est visible dans la Figure 1.2 où les différentes atténuations spécifiques atmosphériques sont calculées à l'aide des modèles de l'ITU-R. </w:t>
      </w:r>
    </w:p>
    <w:p w14:paraId="17BE22B1" w14:textId="27456348" w:rsidR="009A1E70" w:rsidRDefault="009A1E70" w:rsidP="009A1E70">
      <w:pPr>
        <w:jc w:val="both"/>
      </w:pPr>
      <w:r w:rsidRPr="004E3C76">
        <w:t xml:space="preserve">Même si les régions polaires connaissent une occurrence moins fréquente de précipitations par rapport à d'autres régions de la planète, il est crucial d'effectuer une caractérisation minutieuse de ces précipitations dans le cadre des études de propagation troposphérique. De plus, </w:t>
      </w:r>
      <w:r>
        <w:t>comme expliqué dans la section 2.2</w:t>
      </w:r>
      <w:r w:rsidRPr="004E3C76">
        <w:t xml:space="preserve">, </w:t>
      </w:r>
      <w:r>
        <w:t xml:space="preserve">les élévations très basses des liaisons avec les satellites GEO </w:t>
      </w:r>
      <w:r w:rsidRPr="004E3C76">
        <w:t>entraîne</w:t>
      </w:r>
      <w:r>
        <w:t>nt</w:t>
      </w:r>
      <w:r w:rsidRPr="004E3C76">
        <w:t xml:space="preserve"> des trajets plus longs </w:t>
      </w:r>
      <w:r>
        <w:t>et donc une occurrence plus élevé de</w:t>
      </w:r>
      <w:r w:rsidRPr="004E3C76">
        <w:t xml:space="preserve"> traverser des zones de précipitations.</w:t>
      </w:r>
    </w:p>
    <w:p w14:paraId="7445A502" w14:textId="2AC1EE11" w:rsidR="009A1E70" w:rsidRDefault="009A1E70" w:rsidP="009A1E70">
      <w:pPr>
        <w:spacing w:after="0"/>
        <w:jc w:val="both"/>
      </w:pPr>
      <w:r>
        <w:lastRenderedPageBreak/>
        <w:t>La modélisation de l'atténuation due à la pluie à une fréquence donnée peut être calculée</w:t>
      </w:r>
      <w:r w:rsidR="004E13F7">
        <w:t xml:space="preserve"> selon la recommandation ITU-R P.838-3</w:t>
      </w:r>
      <w:r>
        <w:t>, de la même façon que pour les nuages et les gaz atmosphériques, par l'intégration de l'atténuation spécifique due à la pluie le long du trajet de l’onde. Cette atténuation spécifique peut elle-même être calculée à partir de la connaissance de la distribution des tailles des particules de pluie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supposée sphérique, et de la</w:t>
      </w:r>
      <w:r w:rsidR="006C5DA6">
        <w:t xml:space="preserve"> section efficace d'extinction des gouttes de pluie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t xml:space="preserve">. L'atténuation spécifique </w:t>
      </w:r>
      <m:oMath>
        <m:sSub>
          <m:sSubPr>
            <m:ctrlPr>
              <w:rPr>
                <w:rFonts w:ascii="Cambria Math" w:hAnsi="Cambria Math"/>
                <w:i/>
              </w:rPr>
            </m:ctrlPr>
          </m:sSubPr>
          <m:e>
            <m:r>
              <w:rPr>
                <w:rFonts w:ascii="Cambria Math" w:hAnsi="Cambria Math"/>
              </w:rPr>
              <m:t>γ</m:t>
            </m:r>
          </m:e>
          <m:sub>
            <m:r>
              <w:rPr>
                <w:rFonts w:ascii="Cambria Math" w:hAnsi="Cambria Math"/>
              </w:rPr>
              <m:t>ra</m:t>
            </m:r>
          </m:sub>
        </m:sSub>
      </m:oMath>
      <w:r w:rsidR="00AF3289">
        <w:rPr>
          <w:rFonts w:eastAsiaTheme="minorEastAsia"/>
        </w:rPr>
        <w:t xml:space="preserve"> [dB.km</w:t>
      </w:r>
      <w:r w:rsidR="00AF3289" w:rsidRPr="00AF3289">
        <w:rPr>
          <w:rFonts w:eastAsiaTheme="minorEastAsia"/>
          <w:vertAlign w:val="superscript"/>
        </w:rPr>
        <w:t>-1</w:t>
      </w:r>
      <w:r w:rsidR="00AF3289">
        <w:rPr>
          <w:rFonts w:eastAsiaTheme="minorEastAsia"/>
        </w:rPr>
        <w:t xml:space="preserve">] </w:t>
      </w:r>
      <w:r>
        <w:t xml:space="preserve">due à la pluie peut être calculée </w:t>
      </w:r>
      <w:r>
        <w:fldChar w:fldCharType="begin"/>
      </w:r>
      <w:r>
        <w:instrText xml:space="preserve"> ADDIN ZOTERO_ITEM CSL_CITATION {"citationID":"vG9yqWn1","properties":{"formattedCitation":"(Hulst &amp; Hulst, 1981; Manabe et al., 1984)","plainCitation":"(Hulst &amp; Hulst, 1981; Manabe et al., 1984)","noteIndex":0},"citationItems":[{"id":42,"uris":["http://zotero.org/users/local/n6fh7qN8/items/75CQ78JZ"],"itemData":{"id":42,"type":"book","abstract":"&amp;quot;A must for researchers using the techniques of light scattering.&amp;quot; ? S. C. Snowdon, Journal of the Franklin InstituteThe measurement of light scattering of independent, homogeneous particles has many useful applications in physical chemistry, meteorology and astronomy. There is, however, a sizeable gap between the abstract formulae related to electromagnetic-wave-scattering phenomena, and the computation of reliable figures and curves. Dr. van de Hulst&amp;#39;s book enables researchers to bridge that gap. The product of twelve years of work, it is an exhaustive study of light-scattering properties of small, individual particles, and includes a survey of all the relevant literature. Beginning with a broad overview of basic scattering theory, Dr. van de Hulst covers the conservation of energy and momentum; wave propagation in vacuum and in a medium containing scatterers; and polarized light and symmetry relations. The heart of the book is devoted to the rigorous scattering theory for spheres of arbitrary size (Mie theory) and to various modes of approximation such as the Rayleigh-Gaas approximation, the perfect reflection approximation, the geometrical-optics approximation, and others. Methods of computation are given with respect to different kinds of particles, bodies and phenomena: particles small or very large compared to the wavelength, absorbing and nonabsorbing spheres, water drops, circular cylinders, edge phenomena and surface waves, and many others. In the last part, the author covers the use of scattering and extinction experiments as a practical tool, including applications in chemistry, meteorology and astronomy. This book&amp;#39;s comprehensive, lucid coverage of the field makes it a valuable source for all those interested in light-scattering theory. It is absolutely essential for researchers needing to employ light-scattering measurements, and its republication will be welcomed especially by those who have found this necessary source difficult to obtain. Over 400 references. 46 tables. 59 graphs. Subject and name indexes. 44 illustrations.","ISBN":"978-0-486-64228-4","language":"en","note":"Google-Books-ID: PlHfPMVAFRcC","number-of-pages":"502","publisher":"Courier Corporation","source":"Google Books","title":"Light Scattering by Small Particles","author":[{"family":"Hulst","given":"Hendrik Christoffel"},{"family":"Hulst","given":"H. C.","dropping-particle":"van de"}],"issued":{"date-parts":[["1981",1,1]]}}},{"id":44,"uris":["http://zotero.org/users/local/n6fh7qN8/items/WZXU4G5K"],"itemData":{"id":44,"type":"article-journal","abstract":"A method to infer the raindrop size distribution from the measurements of point rain rate and rain attenuation at a frequency in centimeter or millimeter wave bands is proposed. This method is applied to the results of field propagation experiments at 81.8, 34.5, and 11.5 GHz through natural rain. It is shown that, if an appropriate frequency is employed, this method is effective as a frequency-scaling method for short terrestrial propagation paths.","container-title":"IEEE Transactions on Antennas and Propagation","DOI":"10.1109/TAP.1984.1143361","ISSN":"1558-2221","issue":"5","note":"event-title: IEEE Transactions on Antennas and Propagation","page":"474-478","source":"IEEE Xplore","title":"Inference of raindrop size distribution from attenuation and rain rate measurements","volume":"32","author":[{"family":"Manabe","given":"T."},{"family":"Ihara","given":"T."},{"family":"Furuhama","given":"Y."}],"issued":{"date-parts":[["1984",5]]}}}],"schema":"https://github.com/citation-style-language/schema/raw/master/csl-citation.json"} </w:instrText>
      </w:r>
      <w:r>
        <w:fldChar w:fldCharType="separate"/>
      </w:r>
      <w:r w:rsidRPr="00ED2C51">
        <w:rPr>
          <w:rFonts w:ascii="Calibri" w:hAnsi="Calibri" w:cs="Calibri"/>
        </w:rPr>
        <w:t>(Hulst &amp; Hulst, 1981; Manabe et al., 1984)</w:t>
      </w:r>
      <w:r>
        <w:fldChar w:fldCharType="end"/>
      </w:r>
      <w: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04788409" w14:textId="77777777" w:rsidTr="00CE6F3D">
        <w:trPr>
          <w:trHeight w:val="794"/>
        </w:trPr>
        <w:tc>
          <w:tcPr>
            <w:tcW w:w="740" w:type="pct"/>
            <w:vAlign w:val="center"/>
          </w:tcPr>
          <w:p w14:paraId="2ED82D39" w14:textId="77777777" w:rsidR="009A1E70" w:rsidRDefault="009A1E70" w:rsidP="00CE6F3D">
            <w:pPr>
              <w:jc w:val="center"/>
            </w:pPr>
          </w:p>
        </w:tc>
        <w:tc>
          <w:tcPr>
            <w:tcW w:w="3521" w:type="pct"/>
            <w:vAlign w:val="center"/>
          </w:tcPr>
          <w:p w14:paraId="364BA1F9" w14:textId="77777777" w:rsidR="009A1E70" w:rsidRDefault="006916B9" w:rsidP="00CE6F3D">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ra</m:t>
                    </m:r>
                  </m:sub>
                </m:sSub>
                <m:r>
                  <w:rPr>
                    <w:rFonts w:ascii="Cambria Math" w:hAnsi="Cambria Math"/>
                  </w:rPr>
                  <m:t>=4.343</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sSub>
                      <m:sSubPr>
                        <m:ctrlPr>
                          <w:rPr>
                            <w:rFonts w:ascii="Cambria Math" w:hAnsi="Cambria Math"/>
                            <w:i/>
                          </w:rPr>
                        </m:ctrlPr>
                      </m:sSubPr>
                      <m:e>
                        <m:r>
                          <w:rPr>
                            <w:rFonts w:ascii="Cambria Math" w:hAnsi="Cambria Math"/>
                          </w:rPr>
                          <m:t>σ</m:t>
                        </m:r>
                      </m:e>
                      <m:sub>
                        <m:r>
                          <w:rPr>
                            <w:rFonts w:ascii="Cambria Math" w:hAnsi="Cambria Math"/>
                          </w:rPr>
                          <m:t>e,r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r</m:t>
                        </m:r>
                      </m:sub>
                    </m:sSub>
                  </m:e>
                </m:nary>
              </m:oMath>
            </m:oMathPara>
          </w:p>
        </w:tc>
        <w:tc>
          <w:tcPr>
            <w:tcW w:w="739" w:type="pct"/>
            <w:vAlign w:val="center"/>
          </w:tcPr>
          <w:p w14:paraId="0E91A520"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17</w:t>
            </w:r>
            <w:r w:rsidR="006916B9">
              <w:rPr>
                <w:noProof/>
              </w:rPr>
              <w:fldChar w:fldCharType="end"/>
            </w:r>
            <w:r>
              <w:t>)</w:t>
            </w:r>
          </w:p>
        </w:tc>
      </w:tr>
    </w:tbl>
    <w:p w14:paraId="1E6E04B8" w14:textId="20A343F6" w:rsidR="009A1E70" w:rsidRDefault="009A1E70" w:rsidP="009A1E70">
      <w:pPr>
        <w:jc w:val="both"/>
      </w:pPr>
      <w:r w:rsidRPr="008372DE">
        <w:rPr>
          <w:rFonts w:eastAsiaTheme="minorEastAsia" w:cstheme="minorHAnsi"/>
        </w:rPr>
        <w:t xml:space="preserve">Où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2</w:t>
      </w:r>
      <w:r w:rsidRPr="008372DE">
        <w:rPr>
          <w:rFonts w:eastAsiaTheme="minorEastAsia" w:cstheme="minorHAnsi"/>
        </w:rPr>
        <w:t xml:space="preserve">] est la section efficace d'extinction totale pour une goutte de pluie de diamètre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[mm],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-3</w:t>
      </w:r>
      <w:r w:rsidR="006C5DA6" w:rsidRPr="006C5DA6">
        <w:rPr>
          <w:rFonts w:eastAsiaTheme="minorEastAsia" w:cstheme="minorHAnsi"/>
        </w:rPr>
        <w:t>mm</w:t>
      </w:r>
      <w:r w:rsidR="006C5DA6">
        <w:rPr>
          <w:rFonts w:eastAsiaTheme="minorEastAsia" w:cstheme="minorHAnsi"/>
          <w:vertAlign w:val="superscript"/>
        </w:rPr>
        <w:t>-1</w:t>
      </w:r>
      <w:r w:rsidRPr="008372DE">
        <w:rPr>
          <w:rFonts w:eastAsiaTheme="minorEastAsia" w:cstheme="minorHAnsi"/>
        </w:rPr>
        <w:t>] est la distribution des tailles de gouttes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est la concentration de gouttes ayant des diamètres entre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Pr="008372DE">
        <w:rPr>
          <w:rFonts w:eastAsiaTheme="minorEastAsia" w:cstheme="minorHAnsi"/>
        </w:rPr>
        <w:t xml:space="preserve"> [mm] est le diamètre des plus grosses gouttes de </w:t>
      </w:r>
      <w:r>
        <w:rPr>
          <w:rFonts w:eastAsiaTheme="minorEastAsia" w:cstheme="minorHAnsi"/>
        </w:rPr>
        <w:t>pluie.</w:t>
      </w:r>
    </w:p>
    <w:p w14:paraId="7DB7CA33" w14:textId="76E316E3" w:rsidR="009A1E70" w:rsidRDefault="000C3394" w:rsidP="009A1E70">
      <w:pPr>
        <w:jc w:val="both"/>
      </w:pPr>
      <w:r>
        <w:rPr>
          <w:noProof/>
          <w:lang w:val="en-US"/>
        </w:rPr>
        <mc:AlternateContent>
          <mc:Choice Requires="wps">
            <w:drawing>
              <wp:anchor distT="0" distB="0" distL="114300" distR="114300" simplePos="0" relativeHeight="251686912" behindDoc="0" locked="0" layoutInCell="1" allowOverlap="1" wp14:anchorId="569AD022" wp14:editId="5518FF2A">
                <wp:simplePos x="0" y="0"/>
                <wp:positionH relativeFrom="column">
                  <wp:posOffset>0</wp:posOffset>
                </wp:positionH>
                <wp:positionV relativeFrom="paragraph">
                  <wp:posOffset>5238750</wp:posOffset>
                </wp:positionV>
                <wp:extent cx="576072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DBF12B" w14:textId="67C268EB" w:rsidR="00FC7555" w:rsidRPr="00E86F7C" w:rsidRDefault="00FC7555" w:rsidP="000C3394">
                            <w:pPr>
                              <w:pStyle w:val="Lgende"/>
                              <w:jc w:val="center"/>
                              <w:rPr>
                                <w:noProof/>
                              </w:rPr>
                            </w:pPr>
                            <w:r>
                              <w:t>Figure 1.8 – Comparaison section efficace d’extinction par la théorie de Mie et de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AD022" id="Zone de texte 20" o:spid="_x0000_s1033" type="#_x0000_t202" style="position:absolute;left:0;text-align:left;margin-left:0;margin-top:412.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" stroked="f">
                <v:textbox style="mso-fit-shape-to-text:t" inset="0,0,0,0">
                  <w:txbxContent>
                    <w:p w14:paraId="53DBF12B" w14:textId="67C268EB" w:rsidR="00FC7555" w:rsidRPr="00E86F7C" w:rsidRDefault="00FC7555" w:rsidP="000C3394">
                      <w:pPr>
                        <w:pStyle w:val="Lgende"/>
                        <w:jc w:val="center"/>
                        <w:rPr>
                          <w:noProof/>
                        </w:rPr>
                      </w:pPr>
                      <w:r>
                        <w:t>Figure 1.8 – Comparaison section efficace d’extinction par la théorie de Mie et de Rayleigh</w:t>
                      </w:r>
                    </w:p>
                  </w:txbxContent>
                </v:textbox>
                <w10:wrap type="topAndBottom"/>
              </v:shape>
            </w:pict>
          </mc:Fallback>
        </mc:AlternateContent>
      </w:r>
      <w:r>
        <w:rPr>
          <w:noProof/>
          <w:lang w:val="en-US"/>
        </w:rPr>
        <w:drawing>
          <wp:anchor distT="0" distB="0" distL="114300" distR="114300" simplePos="0" relativeHeight="251684864" behindDoc="0" locked="0" layoutInCell="1" allowOverlap="1" wp14:anchorId="1D8CF916" wp14:editId="1ECD47A9">
            <wp:simplePos x="0" y="0"/>
            <wp:positionH relativeFrom="margin">
              <wp:align>right</wp:align>
            </wp:positionH>
            <wp:positionV relativeFrom="paragraph">
              <wp:posOffset>2105342</wp:posOffset>
            </wp:positionV>
            <wp:extent cx="5760720" cy="307657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anchor>
        </w:drawing>
      </w:r>
      <w:r w:rsidR="009A1E70">
        <w:t xml:space="preserve">Afin de calculer </w:t>
      </w:r>
      <w:r w:rsidR="009A1E70" w:rsidRPr="00544F6A">
        <w:t>la section efficace d'extinction</w:t>
      </w:r>
      <w:r w:rsidR="009A1E70">
        <w:t xml:space="preserve"> des gouttes de pluie</w:t>
      </w:r>
      <w:r w:rsidR="009A1E70" w:rsidRPr="00544F6A">
        <w:t xml:space="preserv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sidR="009A1E70">
        <w:rPr>
          <w:rFonts w:eastAsiaTheme="minorEastAsia"/>
        </w:rPr>
        <w:t xml:space="preserve">, </w:t>
      </w:r>
      <w:r w:rsidR="009A1E70" w:rsidRPr="00544F6A">
        <w:t>la théorie formelle de la diffusion de la lumière peut être catégorisée en deux cadres théoriques.</w:t>
      </w:r>
      <w:r w:rsidR="009A1E70">
        <w:t xml:space="preserve"> </w:t>
      </w:r>
      <w:r w:rsidR="009A1E70" w:rsidRPr="00544F6A">
        <w:t>Le premier est la théorie de la diffusion de Rayleigh, qui s'applique aux particules diélectriques sphériques</w:t>
      </w:r>
      <w:r w:rsidR="006C5DA6">
        <w:t xml:space="preserve"> de taille négligeable face à la longueur d’onde</w:t>
      </w:r>
      <w:r w:rsidR="009A1E70" w:rsidRPr="00544F6A">
        <w:t xml:space="preserve">, comme cela a été </w:t>
      </w:r>
      <w:r w:rsidR="009A1E70">
        <w:t>expliqué</w:t>
      </w:r>
      <w:r w:rsidR="009A1E70" w:rsidRPr="00544F6A">
        <w:t xml:space="preserve"> dans la Section </w:t>
      </w:r>
      <w:r w:rsidR="006C5DA6">
        <w:t>3.2</w:t>
      </w:r>
      <w:r w:rsidR="009A1E70" w:rsidRPr="00544F6A">
        <w:t xml:space="preserve">. Le deuxième est la théorie de la diffusion de Mie, qui englobe la solution générale de la diffusion sphérique (absorbante et non absorbante) sans limite particulière sur la taille des particules. </w:t>
      </w:r>
      <w:r>
        <w:t xml:space="preserve">Une comparaison des résultats obtenue sur la section efficace d’extinction de gouttes de pluie de taille radioélectrique </w:t>
      </w:r>
      <m:oMath>
        <m:r>
          <w:rPr>
            <w:rFonts w:ascii="Cambria Math" w:hAnsi="Cambria Math"/>
          </w:rPr>
          <m:t>x</m:t>
        </m:r>
      </m:oMath>
      <w:r>
        <w:t xml:space="preserve"> (</w:t>
      </w:r>
      <m:oMath>
        <m:r>
          <w:rPr>
            <w:rFonts w:ascii="Cambria Math" w:hAnsi="Cambria Math"/>
          </w:rPr>
          <m:t>x=2πr/λ</m:t>
        </m:r>
      </m:oMath>
      <w:r>
        <w:rPr>
          <w:rFonts w:eastAsiaTheme="minorEastAsia"/>
        </w:rPr>
        <w:t xml:space="preserve">, avec </w:t>
      </w:r>
      <m:oMath>
        <m:r>
          <w:rPr>
            <w:rFonts w:ascii="Cambria Math" w:hAnsi="Cambria Math"/>
          </w:rPr>
          <m:t>r</m:t>
        </m:r>
      </m:oMath>
      <w:r>
        <w:rPr>
          <w:rFonts w:eastAsiaTheme="minorEastAsia"/>
        </w:rPr>
        <w:t xml:space="preserve"> le rayon de la particule de pluie et </w:t>
      </w:r>
      <m:oMath>
        <m:r>
          <w:rPr>
            <w:rFonts w:ascii="Cambria Math" w:hAnsi="Cambria Math"/>
          </w:rPr>
          <m:t>λ</m:t>
        </m:r>
      </m:oMath>
      <w:r>
        <w:rPr>
          <w:rFonts w:eastAsiaTheme="minorEastAsia"/>
        </w:rPr>
        <w:t xml:space="preserve"> la longueur d’onde) est présentée dans la figure 1.8. On y observe un accord acceptable entre les résultats issus de la théorie de Mie (courbe bleu) et ceux de l’approximation de Rayleigh (courbe orange) quand la taille radioélectrique </w:t>
      </w:r>
      <m:oMath>
        <m:r>
          <w:rPr>
            <w:rFonts w:ascii="Cambria Math" w:hAnsi="Cambria Math"/>
          </w:rPr>
          <m:t>x</m:t>
        </m:r>
      </m:oMath>
      <w:r>
        <w:rPr>
          <w:rFonts w:eastAsiaTheme="minorEastAsia"/>
        </w:rPr>
        <w:t xml:space="preserve"> de la particule est très inférieur à 1. Cette plage est appelé le « régime de Rayleigh ».</w:t>
      </w:r>
      <w:r>
        <w:t xml:space="preserve"> </w:t>
      </w:r>
      <w:r w:rsidR="009A1E70" w:rsidRPr="00544F6A">
        <w:t xml:space="preserve">Étant donné que les grosses gouttes de pluie ne sont pas sphériques, une version modifiée de la théorie de Mie devrait théoriquement être appliquée, </w:t>
      </w:r>
      <w:r w:rsidR="009A1E70">
        <w:t xml:space="preserve">par exemple la théorie T-matrix </w:t>
      </w:r>
      <w:r w:rsidR="009A1E70">
        <w:fldChar w:fldCharType="begin"/>
      </w:r>
      <w:r w:rsidR="009A1E70">
        <w:instrText xml:space="preserve"> ADDIN ZOTERO_ITEM CSL_CITATION {"citationID":"ck6u3qXd","properties":{"formattedCitation":"(Waterman, 1965)","plainCitation":"(Waterman, 1965)","noteIndex":0},"citationItems":[{"id":47,"uris":["http://zotero.org/users/local/n6fh7qN8/items/P9VW9CAQ"],"itemData":{"id":47,"type":"article-journal","container-title":"Proceedings of the IEEE","issue":"8","note":"publisher: IEEE","page":"805–812","source":"Google Scholar","title":"Matrix formulation of electromagnetic scattering","volume":"53","author":[{"family":"Waterman","given":"P. C."}],"issued":{"date-parts":[["1965"]]}}}],"schema":"https://github.com/citation-style-language/schema/raw/master/csl-citation.json"} </w:instrText>
      </w:r>
      <w:r w:rsidR="009A1E70">
        <w:fldChar w:fldCharType="separate"/>
      </w:r>
      <w:r w:rsidR="009A1E70" w:rsidRPr="00ED2C51">
        <w:rPr>
          <w:rFonts w:ascii="Calibri" w:hAnsi="Calibri" w:cs="Calibri"/>
        </w:rPr>
        <w:t>(Waterman, 1965)</w:t>
      </w:r>
      <w:r w:rsidR="009A1E70">
        <w:fldChar w:fldCharType="end"/>
      </w:r>
      <w:r w:rsidR="009A1E70">
        <w:t xml:space="preserve">. Néanmoins la théorie de Mie est largement utilisée pour la pluie et offre une très bonne première approche pour le calcul des sections </w:t>
      </w:r>
      <w:r w:rsidR="009A1E70">
        <w:lastRenderedPageBreak/>
        <w:t>efficaces d’extinctions totales des particules approximées sphériques.</w:t>
      </w:r>
      <w:r w:rsidRPr="000C3394">
        <w:t xml:space="preserve"> </w:t>
      </w:r>
      <w:r w:rsidRPr="00544F6A">
        <w:t xml:space="preserve">Ci-dessous, la formulation mise en œuvre pour la théorie de Mie est présentée </w:t>
      </w:r>
      <w:r>
        <w:fldChar w:fldCharType="begin"/>
      </w:r>
      <w:r>
        <w:instrText xml:space="preserve"> ADDIN ZOTERO_ITEM CSL_CITATION {"citationID":"gL49QoCF","properties":{"formattedCitation":"(Hahn, 2004)","plainCitation":"(Hahn, 2004)","noteIndex":0},"citationItems":[{"id":46,"uris":["http://zotero.org/users/local/n6fh7qN8/items/RIJIS3T9"],"itemData":{"id":46,"type":"article-journal","container-title":"University of Florida. Available online: http://plaza. ufl. edu/dwhahn/Rayleigh% 20and% 20Mie% 20Light% 20Scattering. pdf (accessed on 10 December 2022)","source":"Google Scholar","title":"Light Scattering Theory Department of Mechanical and Aerospace Engineering","author":[{"family":"Hahn","given":"David W."}],"issued":{"date-parts":[["2004"]]}}}],"schema":"https://github.com/citation-style-language/schema/raw/master/csl-citation.json"} </w:instrText>
      </w:r>
      <w:r>
        <w:fldChar w:fldCharType="separate"/>
      </w:r>
      <w:r w:rsidRPr="00ED2C51">
        <w:rPr>
          <w:rFonts w:ascii="Calibri" w:hAnsi="Calibri" w:cs="Calibri"/>
        </w:rPr>
        <w:t>(Hahn, 2004)</w:t>
      </w:r>
      <w:r>
        <w:fldChar w:fldCharType="end"/>
      </w:r>
      <w:r w:rsidRPr="00544F6A">
        <w:t>.</w:t>
      </w:r>
    </w:p>
    <w:p w14:paraId="0ED5120C" w14:textId="77777777" w:rsidR="009A1E70" w:rsidRDefault="009A1E70" w:rsidP="009A1E70">
      <w:pPr>
        <w:spacing w:after="0"/>
        <w:jc w:val="both"/>
      </w:pPr>
      <w:r>
        <w:t xml:space="preserve">La solution de Mie aux équations de Maxwell donne une formulation de la diffusion d’une onde plane par une sphère homogène. Selon cette théorie, l’efficacité d’extinction </w:t>
      </w:r>
      <m:oMath>
        <m:sSub>
          <m:sSubPr>
            <m:ctrlPr>
              <w:rPr>
                <w:rFonts w:ascii="Cambria Math" w:hAnsi="Cambria Math"/>
                <w:i/>
              </w:rPr>
            </m:ctrlPr>
          </m:sSubPr>
          <m:e>
            <m:r>
              <w:rPr>
                <w:rFonts w:ascii="Cambria Math" w:hAnsi="Cambria Math"/>
              </w:rPr>
              <m:t>Q</m:t>
            </m:r>
          </m:e>
          <m:sub>
            <m:r>
              <w:rPr>
                <w:rFonts w:ascii="Cambria Math" w:hAnsi="Cambria Math"/>
              </w:rPr>
              <m:t>ext</m:t>
            </m:r>
          </m:sub>
        </m:sSub>
        <m:r>
          <w:rPr>
            <w:rFonts w:ascii="Cambria Math" w:hAnsi="Cambria Math"/>
          </w:rPr>
          <m:t xml:space="preserve"> </m:t>
        </m:r>
      </m:oMath>
      <w:r>
        <w:t>est définie par l’expression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1E4BB391" w14:textId="77777777" w:rsidTr="00CE6F3D">
        <w:trPr>
          <w:trHeight w:val="794"/>
        </w:trPr>
        <w:tc>
          <w:tcPr>
            <w:tcW w:w="740" w:type="pct"/>
            <w:vAlign w:val="center"/>
          </w:tcPr>
          <w:p w14:paraId="1F22123B" w14:textId="77777777" w:rsidR="009A1E70" w:rsidRDefault="009A1E70" w:rsidP="00CE6F3D">
            <w:pPr>
              <w:jc w:val="center"/>
            </w:pPr>
          </w:p>
        </w:tc>
        <w:tc>
          <w:tcPr>
            <w:tcW w:w="3521" w:type="pct"/>
            <w:vAlign w:val="center"/>
          </w:tcPr>
          <w:p w14:paraId="792219ED" w14:textId="77777777" w:rsidR="009A1E70" w:rsidRDefault="006916B9" w:rsidP="00CE6F3D">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ext</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2n+1</m:t>
                        </m:r>
                      </m:e>
                    </m:d>
                    <m:r>
                      <m:rPr>
                        <m:scr m:val="fraktur"/>
                      </m:rP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 xml:space="preserve"> </m:t>
                    </m:r>
                  </m:e>
                </m:nary>
              </m:oMath>
            </m:oMathPara>
          </w:p>
        </w:tc>
        <w:tc>
          <w:tcPr>
            <w:tcW w:w="739" w:type="pct"/>
            <w:vAlign w:val="center"/>
          </w:tcPr>
          <w:p w14:paraId="2C4997A7"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18</w:t>
            </w:r>
            <w:r w:rsidR="006916B9">
              <w:rPr>
                <w:noProof/>
              </w:rPr>
              <w:fldChar w:fldCharType="end"/>
            </w:r>
            <w:r>
              <w:t>)</w:t>
            </w:r>
          </w:p>
        </w:tc>
      </w:tr>
    </w:tbl>
    <w:p w14:paraId="5934899B" w14:textId="77777777" w:rsidR="009A1E70" w:rsidRDefault="009A1E70" w:rsidP="009A1E70">
      <w:pPr>
        <w:spacing w:after="0"/>
        <w:jc w:val="both"/>
      </w:pPr>
      <w:r>
        <w:rPr>
          <w:rFonts w:eastAsiaTheme="minorEastAsia"/>
        </w:rPr>
        <w:t xml:space="preserve">Où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πD</m:t>
            </m:r>
          </m:num>
          <m:den>
            <m:r>
              <w:rPr>
                <w:rFonts w:ascii="Cambria Math" w:eastAsiaTheme="minorEastAsia" w:hAnsi="Cambria Math"/>
              </w:rPr>
              <m:t>λ</m:t>
            </m:r>
          </m:den>
        </m:f>
        <m:r>
          <w:rPr>
            <w:rFonts w:ascii="Cambria Math" w:eastAsiaTheme="minorEastAsia" w:hAnsi="Cambria Math"/>
          </w:rPr>
          <m:t xml:space="preserve"> </m:t>
        </m:r>
      </m:oMath>
      <w:r>
        <w:rPr>
          <w:rFonts w:eastAsiaTheme="minorEastAsia"/>
        </w:rPr>
        <w:t>est un paramètre de taille sans dimension (</w:t>
      </w:r>
      <m:oMath>
        <m:r>
          <w:rPr>
            <w:rFonts w:ascii="Cambria Math" w:eastAsiaTheme="minorEastAsia" w:hAnsi="Cambria Math"/>
          </w:rPr>
          <m:t>λ</m:t>
        </m:r>
      </m:oMath>
      <w:r>
        <w:rPr>
          <w:rFonts w:eastAsiaTheme="minorEastAsia"/>
        </w:rPr>
        <w:t xml:space="preserve"> est la longueur d’onde [mm] et D le diamètre de la particule [mm]) 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sont les coefficients de diffusion de Mie qui peuvent être calculés à partir des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01305047" w14:textId="77777777" w:rsidTr="00CE6F3D">
        <w:trPr>
          <w:trHeight w:val="567"/>
        </w:trPr>
        <w:tc>
          <w:tcPr>
            <w:tcW w:w="740" w:type="pct"/>
            <w:vAlign w:val="center"/>
          </w:tcPr>
          <w:p w14:paraId="4F8FE789" w14:textId="77777777" w:rsidR="009A1E70" w:rsidRDefault="009A1E70" w:rsidP="00CE6F3D">
            <w:pPr>
              <w:jc w:val="center"/>
            </w:pPr>
          </w:p>
        </w:tc>
        <w:tc>
          <w:tcPr>
            <w:tcW w:w="3521" w:type="pct"/>
            <w:vAlign w:val="center"/>
          </w:tcPr>
          <w:p w14:paraId="5EB23FA5" w14:textId="77777777" w:rsidR="009A1E70" w:rsidRDefault="006916B9" w:rsidP="00CE6F3D">
            <w:pPr>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num>
                  <m:den>
                    <m:r>
                      <w:rPr>
                        <w:rFonts w:ascii="Cambria Math" w:eastAsiaTheme="minorEastAsia" w:hAnsi="Cambria Math"/>
                      </w:rPr>
                      <m:t>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14:paraId="774084B7"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19</w:t>
            </w:r>
            <w:r w:rsidR="006916B9">
              <w:rPr>
                <w:noProof/>
              </w:rPr>
              <w:fldChar w:fldCharType="end"/>
            </w:r>
            <w:r>
              <w:t>)</w:t>
            </w:r>
          </w:p>
        </w:tc>
      </w:tr>
      <w:tr w:rsidR="009A1E70" w14:paraId="3B3934F9" w14:textId="77777777" w:rsidTr="00CE6F3D">
        <w:trPr>
          <w:trHeight w:val="737"/>
        </w:trPr>
        <w:tc>
          <w:tcPr>
            <w:tcW w:w="740" w:type="pct"/>
            <w:vAlign w:val="center"/>
          </w:tcPr>
          <w:p w14:paraId="35846792" w14:textId="77777777" w:rsidR="009A1E70" w:rsidRDefault="009A1E70" w:rsidP="00CE6F3D">
            <w:pPr>
              <w:jc w:val="center"/>
            </w:pPr>
          </w:p>
        </w:tc>
        <w:tc>
          <w:tcPr>
            <w:tcW w:w="3521" w:type="pct"/>
            <w:vAlign w:val="center"/>
          </w:tcPr>
          <w:p w14:paraId="33861339" w14:textId="77777777" w:rsidR="009A1E70" w:rsidRDefault="006916B9" w:rsidP="00CE6F3D">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 xml:space="preserve"> </m:t>
                    </m:r>
                  </m:num>
                  <m:den>
                    <m:r>
                      <w:rPr>
                        <w:rFonts w:ascii="Cambria Math" w:eastAsiaTheme="minorEastAsia" w:hAnsi="Cambria Math"/>
                      </w:rPr>
                      <m:t>mξ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14:paraId="399C4614"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20</w:t>
            </w:r>
            <w:r w:rsidR="006916B9">
              <w:rPr>
                <w:noProof/>
              </w:rPr>
              <w:fldChar w:fldCharType="end"/>
            </w:r>
            <w:r>
              <w:t>)</w:t>
            </w:r>
          </w:p>
        </w:tc>
      </w:tr>
    </w:tbl>
    <w:p w14:paraId="1CB207C8" w14:textId="77777777" w:rsidR="009A1E70" w:rsidRDefault="009A1E70" w:rsidP="009A1E70">
      <w:pPr>
        <w:spacing w:after="0"/>
        <w:jc w:val="both"/>
        <w:rPr>
          <w:rFonts w:eastAsiaTheme="minorEastAsia"/>
        </w:rPr>
      </w:pPr>
      <w:r w:rsidRPr="00FC76D0">
        <w:rPr>
          <w:rFonts w:eastAsiaTheme="minorEastAsia"/>
        </w:rPr>
        <w:t xml:space="preserve">Pour lesquels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sont les fonctions de </w:t>
      </w:r>
      <w:proofErr w:type="spellStart"/>
      <w:r w:rsidRPr="00FC76D0">
        <w:rPr>
          <w:rFonts w:eastAsiaTheme="minorEastAsia"/>
        </w:rPr>
        <w:t>Ricatti</w:t>
      </w:r>
      <w:proofErr w:type="spellEnd"/>
      <w:r w:rsidRPr="00FC76D0">
        <w:rPr>
          <w:rFonts w:eastAsiaTheme="minorEastAsia"/>
        </w:rPr>
        <w:t xml:space="preserve">-Bessel définies avec </w:t>
      </w:r>
      <w:r>
        <w:rPr>
          <w:rFonts w:eastAsiaTheme="minorEastAsia"/>
        </w:rPr>
        <w:t xml:space="preserve">les fonctions de </w:t>
      </w:r>
      <w:r w:rsidRPr="00FC76D0">
        <w:rPr>
          <w:rFonts w:eastAsiaTheme="minorEastAsia"/>
        </w:rPr>
        <w:t xml:space="preserve">Bessel </w:t>
      </w:r>
      <w:r>
        <w:rPr>
          <w:rFonts w:eastAsiaTheme="minorEastAsia"/>
        </w:rPr>
        <w:t xml:space="preserve">demi-entières </w:t>
      </w:r>
      <w:r w:rsidRPr="00FC76D0">
        <w:rPr>
          <w:rFonts w:eastAsiaTheme="minorEastAsia"/>
        </w:rPr>
        <w:t>(première sorte)</w:t>
      </w:r>
      <w:r>
        <w:rPr>
          <w:rFonts w:eastAsiaTheme="minorEastAsia"/>
        </w:rPr>
        <w:t xml:space="preserve"> </w:t>
      </w:r>
      <w:r w:rsidRPr="00FC76D0">
        <w:rPr>
          <w:rFonts w:eastAsiaTheme="minorEastAsia"/>
        </w:rPr>
        <w:t xml:space="preserve">et </w:t>
      </w:r>
      <w:r>
        <w:rPr>
          <w:rFonts w:eastAsiaTheme="minorEastAsia"/>
        </w:rPr>
        <w:t xml:space="preserve">de Hankel </w:t>
      </w:r>
      <w:r w:rsidRPr="00FC76D0">
        <w:rPr>
          <w:rFonts w:eastAsiaTheme="minorEastAsia"/>
        </w:rPr>
        <w:t xml:space="preserve">(deuxième type), </w:t>
      </w:r>
      <w:r>
        <w:rPr>
          <w:rFonts w:eastAsiaTheme="minorEastAsia"/>
        </w:rPr>
        <w:t xml:space="preserve">et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eastAsiaTheme="minorEastAsia" w:hAnsi="Cambria Math"/>
          </w:rPr>
          <m:t>+iε''</m:t>
        </m:r>
      </m:oMath>
      <w:r>
        <w:rPr>
          <w:rFonts w:eastAsiaTheme="minorEastAsia"/>
        </w:rPr>
        <w:t xml:space="preserve"> </w:t>
      </w:r>
      <w:r w:rsidRPr="00FC76D0">
        <w:rPr>
          <w:rFonts w:eastAsiaTheme="minorEastAsia"/>
        </w:rPr>
        <w:t>est l'indice de réfr</w:t>
      </w:r>
      <w:r>
        <w:rPr>
          <w:rFonts w:eastAsiaTheme="minorEastAsia"/>
        </w:rPr>
        <w:t xml:space="preserve">action complexe de la sphère. </w:t>
      </w:r>
      <w:r w:rsidRPr="00FC76D0">
        <w:rPr>
          <w:rFonts w:eastAsiaTheme="minorEastAsia"/>
        </w:rPr>
        <w:t>Le calcul de la permittivité utilise une formule de Debye étendue suite aux travaux de</w:t>
      </w:r>
      <w:r>
        <w:rPr>
          <w:rFonts w:eastAsiaTheme="minorEastAsia"/>
        </w:rPr>
        <w:t xml:space="preserve"> </w:t>
      </w:r>
      <w:r>
        <w:rPr>
          <w:rFonts w:eastAsiaTheme="minorEastAsia"/>
        </w:rPr>
        <w:fldChar w:fldCharType="begin"/>
      </w:r>
      <w:r>
        <w:rPr>
          <w:rFonts w:eastAsiaTheme="minorEastAsia"/>
        </w:rPr>
        <w:instrText xml:space="preserve"> ADDIN ZOTERO_ITEM CSL_CITATION {"citationID":"CZs2Xb76","properties":{"formattedCitation":"(Ray, 1972)","plainCitation":"(Ray, 1972)","noteIndex":0},"citationItems":[{"id":52,"uris":["http://zotero.org/users/local/n6fh7qN8/items/7C39TGQI"],"itemData":{"id":52,"type":"article-journal","container-title":"Applied optics","issue":"8","note":"publisher: Optica Publishing Group","page":"1836–1844","source":"Google Scholar","title":"Broadband complex refractive indices of ice and water","volume":"11","author":[{"family":"Ray","given":"Peter S."}],"issued":{"date-parts":[["1972"]]}}}],"schema":"https://github.com/citation-style-language/schema/raw/master/csl-citation.json"} </w:instrText>
      </w:r>
      <w:r>
        <w:rPr>
          <w:rFonts w:eastAsiaTheme="minorEastAsia"/>
        </w:rPr>
        <w:fldChar w:fldCharType="separate"/>
      </w:r>
      <w:r w:rsidRPr="00ED2C51">
        <w:rPr>
          <w:rFonts w:ascii="Calibri" w:hAnsi="Calibri" w:cs="Calibri"/>
        </w:rPr>
        <w:t>(Ray, 1972)</w:t>
      </w:r>
      <w:r>
        <w:rPr>
          <w:rFonts w:eastAsiaTheme="minorEastAsia"/>
        </w:rPr>
        <w:fldChar w:fldCharType="end"/>
      </w:r>
      <w:r w:rsidRPr="00FC76D0">
        <w:rPr>
          <w:rFonts w:eastAsiaTheme="minorEastAsia"/>
        </w:rPr>
        <w:t xml:space="preserve">. </w:t>
      </w:r>
      <w:r>
        <w:rPr>
          <w:rFonts w:eastAsiaTheme="minorEastAsia"/>
        </w:rPr>
        <w:t>En utilisant</w:t>
      </w:r>
      <w:r w:rsidRPr="00FC76D0">
        <w:rPr>
          <w:rFonts w:eastAsiaTheme="minorEastAsia"/>
        </w:rPr>
        <w:t xml:space="preserve"> uniquement</w:t>
      </w:r>
      <w:r>
        <w:rPr>
          <w:rFonts w:eastAsiaTheme="minorEastAsia"/>
        </w:rPr>
        <w:t xml:space="preserve"> la f</w:t>
      </w:r>
      <w:r w:rsidRPr="00FC76D0">
        <w:rPr>
          <w:rFonts w:eastAsiaTheme="minorEastAsia"/>
        </w:rPr>
        <w:t xml:space="preserve">onction de Bessel, les </w:t>
      </w:r>
      <w:r>
        <w:rPr>
          <w:rFonts w:eastAsiaTheme="minorEastAsia"/>
        </w:rPr>
        <w:t>formules précédentes deviennent</w:t>
      </w:r>
      <w:r w:rsidRPr="00FC76D0">
        <w:rPr>
          <w:rFonts w:eastAsiaTheme="minorEastAsia"/>
        </w:rPr>
        <w:t xml:space="preserv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004F1D76" w14:textId="77777777" w:rsidTr="00CE6F3D">
        <w:trPr>
          <w:trHeight w:val="624"/>
        </w:trPr>
        <w:tc>
          <w:tcPr>
            <w:tcW w:w="740" w:type="pct"/>
            <w:vAlign w:val="center"/>
          </w:tcPr>
          <w:p w14:paraId="74E13688" w14:textId="77777777" w:rsidR="009A1E70" w:rsidRDefault="009A1E70" w:rsidP="00CE6F3D">
            <w:pPr>
              <w:jc w:val="center"/>
            </w:pPr>
          </w:p>
        </w:tc>
        <w:tc>
          <w:tcPr>
            <w:tcW w:w="3521" w:type="pct"/>
            <w:vAlign w:val="center"/>
          </w:tcPr>
          <w:p w14:paraId="7EF5E60E" w14:textId="77777777" w:rsidR="009A1E70" w:rsidRDefault="006916B9" w:rsidP="00CE6F3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14:paraId="3A87A198"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21</w:t>
            </w:r>
            <w:r w:rsidR="006916B9">
              <w:rPr>
                <w:noProof/>
              </w:rPr>
              <w:fldChar w:fldCharType="end"/>
            </w:r>
            <w:r>
              <w:t>)</w:t>
            </w:r>
          </w:p>
        </w:tc>
      </w:tr>
      <w:tr w:rsidR="009A1E70" w14:paraId="3487EE08" w14:textId="77777777" w:rsidTr="00CE6F3D">
        <w:trPr>
          <w:trHeight w:val="737"/>
        </w:trPr>
        <w:tc>
          <w:tcPr>
            <w:tcW w:w="740" w:type="pct"/>
            <w:vAlign w:val="center"/>
          </w:tcPr>
          <w:p w14:paraId="7629F827" w14:textId="77777777" w:rsidR="009A1E70" w:rsidRDefault="009A1E70" w:rsidP="00CE6F3D">
            <w:pPr>
              <w:jc w:val="center"/>
            </w:pPr>
          </w:p>
        </w:tc>
        <w:tc>
          <w:tcPr>
            <w:tcW w:w="3521" w:type="pct"/>
            <w:vAlign w:val="center"/>
          </w:tcPr>
          <w:p w14:paraId="4321EA87" w14:textId="77777777" w:rsidR="009A1E70" w:rsidRDefault="006916B9" w:rsidP="00CE6F3D">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e>
                        </m:d>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e>
                        </m:d>
                      </m:e>
                      <m:sup>
                        <m:r>
                          <w:rPr>
                            <w:rFonts w:ascii="Cambria Math" w:eastAsiaTheme="minorEastAsia" w:hAnsi="Cambria Math"/>
                          </w:rPr>
                          <m:t>'</m:t>
                        </m:r>
                      </m:sup>
                    </m:sSup>
                  </m:num>
                  <m:den>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14:paraId="072F16BC"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22</w:t>
            </w:r>
            <w:r w:rsidR="006916B9">
              <w:rPr>
                <w:noProof/>
              </w:rPr>
              <w:fldChar w:fldCharType="end"/>
            </w:r>
            <w:r>
              <w:t>)</w:t>
            </w:r>
          </w:p>
        </w:tc>
      </w:tr>
    </w:tbl>
    <w:p w14:paraId="5DC38A89" w14:textId="77777777" w:rsidR="009A1E70" w:rsidRDefault="009A1E70" w:rsidP="009A1E70">
      <w:pPr>
        <w:spacing w:after="0"/>
        <w:jc w:val="both"/>
        <w:rPr>
          <w:rFonts w:eastAsiaTheme="minorEastAsia"/>
        </w:rPr>
      </w:pPr>
      <w:r>
        <w:t xml:space="preserve">Où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z</m:t>
            </m:r>
          </m:e>
        </m:d>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sont les fonctions sphériques de Bessel et Hanskel d’ordre </w:t>
      </w:r>
      <m:oMath>
        <m:r>
          <w:rPr>
            <w:rFonts w:ascii="Cambria Math" w:eastAsiaTheme="minorEastAsia" w:hAnsi="Cambria Math"/>
          </w:rPr>
          <m:t>n</m:t>
        </m:r>
      </m:oMath>
      <w:r>
        <w:rPr>
          <w:rFonts w:eastAsiaTheme="minorEastAsia"/>
        </w:rPr>
        <w:t xml:space="preserve"> avec les arguments </w:t>
      </w:r>
      <m:oMath>
        <m:r>
          <w:rPr>
            <w:rFonts w:ascii="Cambria Math" w:eastAsiaTheme="minorEastAsia" w:hAnsi="Cambria Math"/>
          </w:rPr>
          <m:t>z=α</m:t>
        </m:r>
      </m:oMath>
      <w:r>
        <w:rPr>
          <w:rFonts w:eastAsiaTheme="minorEastAsia"/>
        </w:rPr>
        <w:t xml:space="preserve"> ou </w:t>
      </w:r>
      <m:oMath>
        <m:r>
          <w:rPr>
            <w:rFonts w:ascii="Cambria Math" w:eastAsiaTheme="minorEastAsia" w:hAnsi="Cambria Math"/>
          </w:rPr>
          <m:t>z=mα</m:t>
        </m:r>
      </m:oMath>
      <w:r>
        <w:rPr>
          <w:rFonts w:eastAsiaTheme="minorEastAsia"/>
        </w:rPr>
        <w:t>. Par souci d’exhaustivité, la relation suivante pour les dérivées est souvent utilisée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27446402" w14:textId="77777777" w:rsidTr="00CE6F3D">
        <w:trPr>
          <w:trHeight w:val="624"/>
        </w:trPr>
        <w:tc>
          <w:tcPr>
            <w:tcW w:w="740" w:type="pct"/>
            <w:vAlign w:val="center"/>
          </w:tcPr>
          <w:p w14:paraId="31A69D9C" w14:textId="77777777" w:rsidR="009A1E70" w:rsidRDefault="009A1E70" w:rsidP="00CE6F3D">
            <w:pPr>
              <w:jc w:val="center"/>
            </w:pPr>
          </w:p>
        </w:tc>
        <w:tc>
          <w:tcPr>
            <w:tcW w:w="3521" w:type="pct"/>
            <w:vAlign w:val="center"/>
          </w:tcPr>
          <w:p w14:paraId="5FF93C77" w14:textId="77777777" w:rsidR="009A1E70" w:rsidRDefault="006916B9" w:rsidP="00CE6F3D">
            <w:pPr>
              <w:jc w:val="cente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 xml:space="preserve"> </m:t>
                </m:r>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oMath>
            </m:oMathPara>
          </w:p>
        </w:tc>
        <w:tc>
          <w:tcPr>
            <w:tcW w:w="739" w:type="pct"/>
            <w:vAlign w:val="center"/>
          </w:tcPr>
          <w:p w14:paraId="7791966A"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23</w:t>
            </w:r>
            <w:r w:rsidR="006916B9">
              <w:rPr>
                <w:noProof/>
              </w:rPr>
              <w:fldChar w:fldCharType="end"/>
            </w:r>
            <w:r>
              <w:t>)</w:t>
            </w:r>
          </w:p>
        </w:tc>
      </w:tr>
    </w:tbl>
    <w:p w14:paraId="05BD722D" w14:textId="77777777" w:rsidR="009A1E70" w:rsidRDefault="009A1E70" w:rsidP="009A1E70">
      <w:pPr>
        <w:jc w:val="both"/>
        <w:rPr>
          <w:rFonts w:eastAsiaTheme="minorEastAsia"/>
        </w:rPr>
      </w:pPr>
      <w:r>
        <w:rPr>
          <w:rFonts w:eastAsiaTheme="minorEastAsia"/>
        </w:rPr>
        <w:t>Finalement, la section efficace totale d’extinction s’exprime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A1E70" w14:paraId="58977CBF" w14:textId="77777777" w:rsidTr="00CE6F3D">
        <w:trPr>
          <w:trHeight w:val="624"/>
        </w:trPr>
        <w:tc>
          <w:tcPr>
            <w:tcW w:w="740" w:type="pct"/>
            <w:vAlign w:val="center"/>
          </w:tcPr>
          <w:p w14:paraId="4FD1ECD5" w14:textId="77777777" w:rsidR="009A1E70" w:rsidRDefault="009A1E70" w:rsidP="00CE6F3D">
            <w:pPr>
              <w:jc w:val="center"/>
            </w:pPr>
          </w:p>
        </w:tc>
        <w:tc>
          <w:tcPr>
            <w:tcW w:w="3521" w:type="pct"/>
            <w:vAlign w:val="center"/>
          </w:tcPr>
          <w:p w14:paraId="437781F8" w14:textId="77777777" w:rsidR="009A1E70" w:rsidRDefault="006916B9" w:rsidP="00CE6F3D">
            <w:pPr>
              <w:jc w:val="cente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m:oMathPara>
          </w:p>
        </w:tc>
        <w:tc>
          <w:tcPr>
            <w:tcW w:w="739" w:type="pct"/>
            <w:vAlign w:val="center"/>
          </w:tcPr>
          <w:p w14:paraId="5AC1D1B9" w14:textId="77777777" w:rsidR="009A1E70" w:rsidRDefault="009A1E70" w:rsidP="00CE6F3D">
            <w:pPr>
              <w:keepNext/>
              <w:jc w:val="center"/>
            </w:pPr>
            <w:r>
              <w:t xml:space="preserve">(1. </w:t>
            </w:r>
            <w:r w:rsidR="006916B9">
              <w:fldChar w:fldCharType="begin"/>
            </w:r>
            <w:r w:rsidR="006916B9">
              <w:instrText xml:space="preserve"> SEQ 1. \* ARABIC </w:instrText>
            </w:r>
            <w:r w:rsidR="006916B9">
              <w:fldChar w:fldCharType="separate"/>
            </w:r>
            <w:r>
              <w:rPr>
                <w:noProof/>
              </w:rPr>
              <w:t>24</w:t>
            </w:r>
            <w:r w:rsidR="006916B9">
              <w:rPr>
                <w:noProof/>
              </w:rPr>
              <w:fldChar w:fldCharType="end"/>
            </w:r>
            <w:r>
              <w:t>)</w:t>
            </w:r>
          </w:p>
        </w:tc>
      </w:tr>
    </w:tbl>
    <w:p w14:paraId="4699A3B9" w14:textId="249BE531" w:rsidR="009A1E70" w:rsidRDefault="009A1E70" w:rsidP="009A1E70">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est </w:t>
      </w:r>
      <w:r>
        <w:t xml:space="preserve">l’efficacité d’extinction, qui est la section efficace d’extinction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oMath>
      <w:r>
        <w:t xml:space="preserve"> </w:t>
      </w:r>
      <w:r w:rsidRPr="008372DE">
        <w:rPr>
          <w:rFonts w:eastAsiaTheme="minorEastAsia" w:cstheme="minorHAnsi"/>
        </w:rPr>
        <w:t>[m</w:t>
      </w:r>
      <w:r w:rsidRPr="008372DE">
        <w:rPr>
          <w:rFonts w:eastAsiaTheme="minorEastAsia" w:cstheme="minorHAnsi"/>
          <w:vertAlign w:val="superscript"/>
        </w:rPr>
        <w:t>2</w:t>
      </w:r>
      <w:r w:rsidRPr="008372DE">
        <w:rPr>
          <w:rFonts w:eastAsiaTheme="minorEastAsia" w:cstheme="minorHAnsi"/>
        </w:rPr>
        <w:t xml:space="preserve">] </w:t>
      </w:r>
      <w:r>
        <w:rPr>
          <w:rFonts w:eastAsiaTheme="minorEastAsia" w:cstheme="minorHAnsi"/>
        </w:rPr>
        <w:t xml:space="preserve"> </w:t>
      </w:r>
      <w:r>
        <w:t xml:space="preserve">normalisée par la section efficace géométrique </w:t>
      </w:r>
      <m:oMath>
        <m:r>
          <w:rPr>
            <w:rFonts w:ascii="Cambria Math" w:hAnsi="Cambria Math"/>
          </w:rPr>
          <m:t>πa²</m:t>
        </m:r>
      </m:oMath>
      <w:r>
        <w:rPr>
          <w:rFonts w:eastAsiaTheme="minorEastAsia"/>
        </w:rPr>
        <w:t>.</w:t>
      </w:r>
    </w:p>
    <w:p w14:paraId="0BB46052" w14:textId="16E19CBC" w:rsidR="004E13F7" w:rsidRDefault="004E13F7" w:rsidP="009A1E70">
      <w:pPr>
        <w:jc w:val="both"/>
        <w:rPr>
          <w:rFonts w:eastAsiaTheme="minorEastAsia"/>
        </w:rPr>
      </w:pPr>
      <w:r w:rsidRPr="00900165">
        <w:rPr>
          <w:rFonts w:eastAsiaTheme="minorEastAsia"/>
        </w:rPr>
        <w:t xml:space="preserve">La procédure décrite ci-dessus est valable pour l'ensemble de l'atmosphère pour des fréquences </w:t>
      </w:r>
      <w:r>
        <w:rPr>
          <w:rFonts w:eastAsiaTheme="minorEastAsia"/>
        </w:rPr>
        <w:t>comprises entre 1 et 1000GHz</w:t>
      </w:r>
    </w:p>
    <w:p w14:paraId="0F2ABF1C" w14:textId="77777777" w:rsidR="009A1E70" w:rsidRDefault="009A1E70" w:rsidP="009A1E70">
      <w:pPr>
        <w:jc w:val="both"/>
        <w:rPr>
          <w:rFonts w:eastAsiaTheme="minorEastAsia"/>
        </w:rPr>
      </w:pPr>
      <w:r>
        <w:rPr>
          <w:rFonts w:eastAsiaTheme="minorEastAsia"/>
        </w:rPr>
        <w:t xml:space="preserve">Pour résumer, le calcul de l’atténuation spécifique due à la pluie  </w:t>
      </w:r>
      <m:oMath>
        <m:sSub>
          <m:sSubPr>
            <m:ctrlPr>
              <w:rPr>
                <w:rFonts w:ascii="Cambria Math" w:hAnsi="Cambria Math"/>
                <w:i/>
              </w:rPr>
            </m:ctrlPr>
          </m:sSubPr>
          <m:e>
            <m:r>
              <w:rPr>
                <w:rFonts w:ascii="Cambria Math" w:hAnsi="Cambria Math"/>
              </w:rPr>
              <m:t>γ</m:t>
            </m:r>
          </m:e>
          <m:sub>
            <m:r>
              <w:rPr>
                <w:rFonts w:ascii="Cambria Math" w:hAnsi="Cambria Math"/>
              </w:rPr>
              <m:t>ra</m:t>
            </m:r>
          </m:sub>
        </m:sSub>
      </m:oMath>
      <w:r>
        <w:rPr>
          <w:rFonts w:eastAsiaTheme="minorEastAsia"/>
        </w:rPr>
        <w:t xml:space="preserve"> à l’aide du modèle présenté dans cette section nécessite donc en entrée la </w:t>
      </w:r>
      <w:r>
        <w:t>distribution des tailles des particules de pluie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eastAsiaTheme="minorEastAsia"/>
        </w:rPr>
        <w:t xml:space="preserve">, mais aussi le </w:t>
      </w:r>
      <w:r w:rsidRPr="008372DE">
        <w:rPr>
          <w:rFonts w:eastAsiaTheme="minorEastAsia" w:cstheme="minorHAnsi"/>
        </w:rPr>
        <w:t xml:space="preserve">diamètre des plus grosses gouttes de </w:t>
      </w:r>
      <w:r>
        <w:rPr>
          <w:rFonts w:eastAsiaTheme="minorEastAsia" w:cstheme="minorHAnsi"/>
        </w:rPr>
        <w:t xml:space="preserve">pluie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Pr>
          <w:rFonts w:eastAsiaTheme="minorEastAsia" w:cstheme="minorHAnsi"/>
        </w:rPr>
        <w:t>,</w:t>
      </w:r>
      <w:r>
        <w:rPr>
          <w:rFonts w:eastAsiaTheme="minorEastAsia"/>
        </w:rPr>
        <w:t xml:space="preserve"> la fréquence </w:t>
      </w:r>
      <m:oMath>
        <m:r>
          <w:rPr>
            <w:rFonts w:ascii="Cambria Math" w:eastAsiaTheme="minorEastAsia" w:hAnsi="Cambria Math" w:cs="Cambria Math"/>
          </w:rPr>
          <m:t>f</m:t>
        </m:r>
      </m:oMath>
      <w:r>
        <w:rPr>
          <w:rFonts w:eastAsiaTheme="minorEastAsia"/>
        </w:rPr>
        <w:t xml:space="preserve"> de la liaison et les parties réelle et imaginaire de la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Pr>
          <w:rFonts w:eastAsiaTheme="minorEastAsia"/>
          <w:szCs w:val="24"/>
        </w:rPr>
        <w:t xml:space="preserve"> pour calculer la section efficace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Pr>
          <w:rFonts w:eastAsiaTheme="minorEastAsia"/>
        </w:rPr>
        <w:t xml:space="preserve"> </w:t>
      </w:r>
      <w:r>
        <w:rPr>
          <w:rFonts w:eastAsiaTheme="minorEastAsia"/>
          <w:szCs w:val="24"/>
        </w:rPr>
        <w:t xml:space="preserve">des particules de pluie. </w:t>
      </w:r>
    </w:p>
    <w:p w14:paraId="59F81050" w14:textId="0F35D397" w:rsidR="008D13ED" w:rsidRDefault="008D13ED" w:rsidP="008D13ED"/>
    <w:p w14:paraId="70948263" w14:textId="185BDA7A" w:rsidR="00AF3289" w:rsidRDefault="00AF3289" w:rsidP="00AF3289">
      <w:pPr>
        <w:jc w:val="both"/>
      </w:pPr>
      <w:r w:rsidRPr="00A173F8">
        <w:lastRenderedPageBreak/>
        <w:t xml:space="preserve">Jusqu'à présent, la modélisation précise de l'atténuation causée par les </w:t>
      </w:r>
      <w:r>
        <w:t>autres types d’</w:t>
      </w:r>
      <w:r w:rsidRPr="00A173F8">
        <w:t>hydrométéores polaires reste un domaine peu ex</w:t>
      </w:r>
      <w:r>
        <w:t>ploré voir</w:t>
      </w:r>
      <w:r w:rsidRPr="00A173F8">
        <w:t xml:space="preserve"> négligé. Les mécanismes d'atténuation dus à ces particules, telles que les cristaux de glace et les flocons de neige</w:t>
      </w:r>
      <w:r>
        <w:t xml:space="preserve"> (sec ou humide)</w:t>
      </w:r>
      <w:r w:rsidRPr="00A173F8">
        <w:t xml:space="preserve">, présentent des défis uniques en raison de leurs propriétés complexes et variables. </w:t>
      </w:r>
      <w:r>
        <w:t xml:space="preserve">Le recommandation ITU-R P1817 propose une formulation pour déterminer l’atténuation spécifique de la neige </w:t>
      </w:r>
      <m:oMath>
        <m:sSub>
          <m:sSubPr>
            <m:ctrlPr>
              <w:rPr>
                <w:rFonts w:ascii="Cambria Math" w:hAnsi="Cambria Math"/>
                <w:i/>
              </w:rPr>
            </m:ctrlPr>
          </m:sSubPr>
          <m:e>
            <m:r>
              <w:rPr>
                <w:rFonts w:ascii="Cambria Math" w:hAnsi="Cambria Math"/>
              </w:rPr>
              <m:t>γ</m:t>
            </m:r>
          </m:e>
          <m:sub>
            <m:r>
              <w:rPr>
                <w:rFonts w:ascii="Cambria Math" w:hAnsi="Cambria Math"/>
              </w:rPr>
              <m:t>sn</m:t>
            </m:r>
          </m:sub>
        </m:sSub>
      </m:oMath>
      <w:r>
        <w:rPr>
          <w:rFonts w:eastAsiaTheme="minorEastAsia"/>
        </w:rPr>
        <w:t xml:space="preserve"> [dB.km</w:t>
      </w:r>
      <w:r w:rsidRPr="00AF3289">
        <w:rPr>
          <w:rFonts w:eastAsiaTheme="minorEastAsia"/>
          <w:vertAlign w:val="superscript"/>
        </w:rPr>
        <w:t>-1</w:t>
      </w:r>
      <w:r>
        <w:rPr>
          <w:rFonts w:eastAsiaTheme="minorEastAsia"/>
        </w:rPr>
        <w:t>] (</w:t>
      </w:r>
      <w:r>
        <w:t>sèche ou humide)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AF3289" w14:paraId="75837943" w14:textId="77777777" w:rsidTr="00CE6F3D">
        <w:trPr>
          <w:trHeight w:val="624"/>
        </w:trPr>
        <w:tc>
          <w:tcPr>
            <w:tcW w:w="740" w:type="pct"/>
            <w:vAlign w:val="center"/>
          </w:tcPr>
          <w:p w14:paraId="252718BA" w14:textId="77777777" w:rsidR="00AF3289" w:rsidRDefault="00AF3289" w:rsidP="00CE6F3D">
            <w:pPr>
              <w:jc w:val="center"/>
            </w:pPr>
          </w:p>
        </w:tc>
        <w:tc>
          <w:tcPr>
            <w:tcW w:w="3521" w:type="pct"/>
            <w:vAlign w:val="center"/>
          </w:tcPr>
          <w:p w14:paraId="67EC6A97" w14:textId="7CCA9B3B" w:rsidR="00AF3289" w:rsidRDefault="006916B9" w:rsidP="00AF3289">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sn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sn</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m:t>
                    </m:r>
                  </m:sub>
                  <m:sup>
                    <m:sSub>
                      <m:sSubPr>
                        <m:ctrlPr>
                          <w:rPr>
                            <w:rFonts w:ascii="Cambria Math" w:hAnsi="Cambria Math"/>
                            <w:i/>
                          </w:rPr>
                        </m:ctrlPr>
                      </m:sSubPr>
                      <m:e>
                        <m:r>
                          <w:rPr>
                            <w:rFonts w:ascii="Cambria Math" w:hAnsi="Cambria Math"/>
                          </w:rPr>
                          <m:t>b</m:t>
                        </m:r>
                      </m:e>
                      <m:sub>
                        <m:r>
                          <w:rPr>
                            <w:rFonts w:ascii="Cambria Math" w:hAnsi="Cambria Math"/>
                          </w:rPr>
                          <m:t>sn</m:t>
                        </m:r>
                      </m:sub>
                    </m:sSub>
                  </m:sup>
                </m:sSubSup>
              </m:oMath>
            </m:oMathPara>
          </w:p>
        </w:tc>
        <w:tc>
          <w:tcPr>
            <w:tcW w:w="739" w:type="pct"/>
            <w:vAlign w:val="center"/>
          </w:tcPr>
          <w:p w14:paraId="73C20695" w14:textId="04D0C8FE" w:rsidR="00AF3289" w:rsidRDefault="00AF3289" w:rsidP="00CE6F3D">
            <w:pPr>
              <w:keepNext/>
              <w:jc w:val="center"/>
            </w:pPr>
            <w:r>
              <w:t xml:space="preserve">(1. </w:t>
            </w:r>
            <w:r w:rsidR="006916B9">
              <w:fldChar w:fldCharType="begin"/>
            </w:r>
            <w:r w:rsidR="006916B9">
              <w:instrText xml:space="preserve"> SEQ 1. \* ARABIC </w:instrText>
            </w:r>
            <w:r w:rsidR="006916B9">
              <w:fldChar w:fldCharType="separate"/>
            </w:r>
            <w:r>
              <w:rPr>
                <w:noProof/>
              </w:rPr>
              <w:t>25</w:t>
            </w:r>
            <w:r w:rsidR="006916B9">
              <w:rPr>
                <w:noProof/>
              </w:rPr>
              <w:fldChar w:fldCharType="end"/>
            </w:r>
            <w:r>
              <w:t>)</w:t>
            </w:r>
          </w:p>
        </w:tc>
      </w:tr>
    </w:tbl>
    <w:p w14:paraId="2ADE170D" w14:textId="759A387E" w:rsidR="00AF3289" w:rsidRDefault="00AF3289" w:rsidP="00AF3289">
      <w:pPr>
        <w:jc w:val="both"/>
        <w:rPr>
          <w:rFonts w:eastAsiaTheme="minorEastAsia"/>
        </w:rPr>
      </w:pPr>
      <w:r>
        <w:t xml:space="preserve">Dans cette équation,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Pr>
          <w:rFonts w:eastAsiaTheme="minorEastAsia"/>
        </w:rPr>
        <w:t xml:space="preserve"> est le taux de chute de neige [mm.h-1] et </w:t>
      </w:r>
      <m:oMath>
        <m:sSub>
          <m:sSubPr>
            <m:ctrlPr>
              <w:rPr>
                <w:rFonts w:ascii="Cambria Math" w:hAnsi="Cambria Math"/>
                <w:i/>
              </w:rPr>
            </m:ctrlPr>
          </m:sSubPr>
          <m:e>
            <m:r>
              <w:rPr>
                <w:rFonts w:ascii="Cambria Math" w:hAnsi="Cambria Math"/>
              </w:rPr>
              <m:t>a</m:t>
            </m:r>
          </m:e>
          <m:sub>
            <m:r>
              <w:rPr>
                <w:rFonts w:ascii="Cambria Math" w:hAnsi="Cambria Math"/>
              </w:rPr>
              <m:t>sn</m:t>
            </m:r>
          </m:sub>
        </m:sSub>
      </m:oMath>
      <w:r>
        <w:rPr>
          <w:rFonts w:eastAsiaTheme="minorEastAsia"/>
        </w:rPr>
        <w:t xml:space="preserve"> et </w:t>
      </w:r>
      <m:oMath>
        <m:sSub>
          <m:sSubPr>
            <m:ctrlPr>
              <w:rPr>
                <w:rFonts w:ascii="Cambria Math" w:hAnsi="Cambria Math"/>
                <w:i/>
              </w:rPr>
            </m:ctrlPr>
          </m:sSubPr>
          <m:e>
            <m:r>
              <w:rPr>
                <w:rFonts w:ascii="Cambria Math" w:hAnsi="Cambria Math"/>
              </w:rPr>
              <m:t>b</m:t>
            </m:r>
          </m:e>
          <m:sub>
            <m:r>
              <w:rPr>
                <w:rFonts w:ascii="Cambria Math" w:hAnsi="Cambria Math"/>
              </w:rPr>
              <m:t>sn</m:t>
            </m:r>
          </m:sub>
        </m:sSub>
      </m:oMath>
      <w:r>
        <w:rPr>
          <w:rFonts w:eastAsiaTheme="minorEastAsia"/>
        </w:rPr>
        <w:t xml:space="preserve"> sont des paramètres fonctions de la longueur d’onde </w:t>
      </w:r>
      <m:oMath>
        <m:r>
          <w:rPr>
            <w:rFonts w:ascii="Cambria Math" w:eastAsiaTheme="minorEastAsia" w:hAnsi="Cambria Math"/>
          </w:rPr>
          <m:t>λ</m:t>
        </m:r>
      </m:oMath>
      <w:r>
        <w:rPr>
          <w:rFonts w:eastAsiaTheme="minorEastAsia"/>
        </w:rPr>
        <w:t xml:space="preserve"> [nm] tel qu’indiqué dans le tableau 1</w:t>
      </w:r>
      <w:r w:rsidR="0097424E">
        <w:rPr>
          <w:rFonts w:eastAsiaTheme="minorEastAsia"/>
        </w:rPr>
        <w:t>.1</w:t>
      </w:r>
      <w:r>
        <w:rPr>
          <w:rFonts w:eastAsiaTheme="minorEastAsia"/>
        </w:rPr>
        <w:t>.</w:t>
      </w:r>
    </w:p>
    <w:tbl>
      <w:tblPr>
        <w:tblStyle w:val="Tableausimple2"/>
        <w:tblW w:w="0" w:type="auto"/>
        <w:tblLook w:val="04A0" w:firstRow="1" w:lastRow="0" w:firstColumn="1" w:lastColumn="0" w:noHBand="0" w:noVBand="1"/>
      </w:tblPr>
      <w:tblGrid>
        <w:gridCol w:w="3020"/>
        <w:gridCol w:w="3021"/>
        <w:gridCol w:w="3021"/>
      </w:tblGrid>
      <w:tr w:rsidR="00AF3289" w14:paraId="7D348198" w14:textId="77777777" w:rsidTr="00186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703D9E" w14:textId="77777777" w:rsidR="00AF3289" w:rsidRPr="00186801" w:rsidRDefault="00AF3289" w:rsidP="00AF3289">
            <w:pPr>
              <w:jc w:val="center"/>
            </w:pPr>
          </w:p>
        </w:tc>
        <w:tc>
          <w:tcPr>
            <w:tcW w:w="3021" w:type="dxa"/>
          </w:tcPr>
          <w:p w14:paraId="7DF8A2BF" w14:textId="41C39D9B" w:rsidR="00AF3289" w:rsidRPr="00186801" w:rsidRDefault="006916B9" w:rsidP="00AF3289">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sn</m:t>
                    </m:r>
                  </m:sub>
                </m:sSub>
              </m:oMath>
            </m:oMathPara>
          </w:p>
        </w:tc>
        <w:tc>
          <w:tcPr>
            <w:tcW w:w="3021" w:type="dxa"/>
          </w:tcPr>
          <w:p w14:paraId="46887D1C" w14:textId="04412DF9" w:rsidR="00AF3289" w:rsidRPr="00186801" w:rsidRDefault="006916B9" w:rsidP="00AF3289">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sn</m:t>
                    </m:r>
                  </m:sub>
                </m:sSub>
              </m:oMath>
            </m:oMathPara>
          </w:p>
        </w:tc>
      </w:tr>
      <w:tr w:rsidR="00AF3289" w14:paraId="133634EC" w14:textId="77777777" w:rsidTr="0018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5CB008" w14:textId="7F044E3E" w:rsidR="00AF3289" w:rsidRPr="00186801" w:rsidRDefault="00AF3289" w:rsidP="00AF3289">
            <w:pPr>
              <w:jc w:val="center"/>
            </w:pPr>
            <w:r w:rsidRPr="00186801">
              <w:t>Neige humide</w:t>
            </w:r>
          </w:p>
        </w:tc>
        <w:tc>
          <w:tcPr>
            <w:tcW w:w="3021" w:type="dxa"/>
          </w:tcPr>
          <w:p w14:paraId="18DA2103" w14:textId="5436B172" w:rsidR="00AF3289" w:rsidRDefault="00186801" w:rsidP="00AF3289">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eastAsiaTheme="minorEastAsia" w:hAnsi="Cambria Math"/>
                  </w:rPr>
                  <m:t>0.0001023λ+3.7855466</m:t>
                </m:r>
              </m:oMath>
            </m:oMathPara>
          </w:p>
        </w:tc>
        <w:tc>
          <w:tcPr>
            <w:tcW w:w="3021" w:type="dxa"/>
          </w:tcPr>
          <w:p w14:paraId="03313E78" w14:textId="72F12668" w:rsidR="00AF3289" w:rsidRDefault="00AF3289" w:rsidP="00AF3289">
            <w:pPr>
              <w:jc w:val="center"/>
              <w:cnfStyle w:val="000000100000" w:firstRow="0" w:lastRow="0" w:firstColumn="0" w:lastColumn="0" w:oddVBand="0" w:evenVBand="0" w:oddHBand="1" w:evenHBand="0" w:firstRowFirstColumn="0" w:firstRowLastColumn="0" w:lastRowFirstColumn="0" w:lastRowLastColumn="0"/>
            </w:pPr>
            <w:r>
              <w:t>0.72</w:t>
            </w:r>
          </w:p>
        </w:tc>
      </w:tr>
      <w:tr w:rsidR="00AF3289" w14:paraId="2B5F2E17" w14:textId="77777777" w:rsidTr="00186801">
        <w:tc>
          <w:tcPr>
            <w:cnfStyle w:val="001000000000" w:firstRow="0" w:lastRow="0" w:firstColumn="1" w:lastColumn="0" w:oddVBand="0" w:evenVBand="0" w:oddHBand="0" w:evenHBand="0" w:firstRowFirstColumn="0" w:firstRowLastColumn="0" w:lastRowFirstColumn="0" w:lastRowLastColumn="0"/>
            <w:tcW w:w="3020" w:type="dxa"/>
          </w:tcPr>
          <w:p w14:paraId="21990579" w14:textId="781EF252" w:rsidR="00AF3289" w:rsidRPr="00186801" w:rsidRDefault="00AF3289" w:rsidP="00AF3289">
            <w:pPr>
              <w:jc w:val="center"/>
            </w:pPr>
            <w:r w:rsidRPr="00186801">
              <w:t>Neige sèche</w:t>
            </w:r>
          </w:p>
        </w:tc>
        <w:tc>
          <w:tcPr>
            <w:tcW w:w="3021" w:type="dxa"/>
          </w:tcPr>
          <w:p w14:paraId="0673C53B" w14:textId="1D04BD3F" w:rsidR="00AF3289" w:rsidRDefault="00186801" w:rsidP="00AF3289">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0.0000542λ+5.4958776</m:t>
                </m:r>
              </m:oMath>
            </m:oMathPara>
          </w:p>
        </w:tc>
        <w:tc>
          <w:tcPr>
            <w:tcW w:w="3021" w:type="dxa"/>
          </w:tcPr>
          <w:p w14:paraId="22622CD8" w14:textId="76317DDF" w:rsidR="00AF3289" w:rsidRDefault="00AF3289" w:rsidP="00186801">
            <w:pPr>
              <w:keepNext/>
              <w:jc w:val="center"/>
              <w:cnfStyle w:val="000000000000" w:firstRow="0" w:lastRow="0" w:firstColumn="0" w:lastColumn="0" w:oddVBand="0" w:evenVBand="0" w:oddHBand="0" w:evenHBand="0" w:firstRowFirstColumn="0" w:firstRowLastColumn="0" w:lastRowFirstColumn="0" w:lastRowLastColumn="0"/>
            </w:pPr>
            <w:r>
              <w:t>1.38</w:t>
            </w:r>
          </w:p>
        </w:tc>
      </w:tr>
    </w:tbl>
    <w:p w14:paraId="40FB8FBD" w14:textId="5FADAFE7" w:rsidR="00AF3289" w:rsidRDefault="00186801" w:rsidP="00186801">
      <w:pPr>
        <w:pStyle w:val="Lgende"/>
        <w:jc w:val="center"/>
        <w:rPr>
          <w:rFonts w:eastAsiaTheme="minorEastAsia"/>
        </w:rPr>
      </w:pPr>
      <w:r>
        <w:t xml:space="preserve">Table </w:t>
      </w:r>
      <w:r w:rsidR="006916B9">
        <w:fldChar w:fldCharType="begin"/>
      </w:r>
      <w:r w:rsidR="006916B9">
        <w:instrText xml:space="preserve"> SEQ Table \* ARABIC </w:instrText>
      </w:r>
      <w:r w:rsidR="006916B9">
        <w:fldChar w:fldCharType="separate"/>
      </w:r>
      <w:r>
        <w:rPr>
          <w:noProof/>
        </w:rPr>
        <w:t>1</w:t>
      </w:r>
      <w:r w:rsidR="006916B9">
        <w:rPr>
          <w:noProof/>
        </w:rPr>
        <w:fldChar w:fldCharType="end"/>
      </w:r>
      <w:r w:rsidR="0097424E">
        <w:rPr>
          <w:noProof/>
        </w:rPr>
        <w:t>.1</w:t>
      </w:r>
      <w:r w:rsidR="00316B7F">
        <w:t xml:space="preserve"> -</w:t>
      </w:r>
      <w:r>
        <w:t xml:space="preserve"> Paramètres </w:t>
      </w:r>
      <m:oMath>
        <m:sSub>
          <m:sSubPr>
            <m:ctrlPr>
              <w:rPr>
                <w:rFonts w:ascii="Cambria Math" w:hAnsi="Cambria Math"/>
                <w:i w:val="0"/>
              </w:rPr>
            </m:ctrlPr>
          </m:sSubPr>
          <m:e>
            <m:r>
              <w:rPr>
                <w:rFonts w:ascii="Cambria Math" w:hAnsi="Cambria Math"/>
              </w:rPr>
              <m:t>a</m:t>
            </m:r>
          </m:e>
          <m:sub>
            <m:r>
              <w:rPr>
                <w:rFonts w:ascii="Cambria Math" w:hAnsi="Cambria Math"/>
              </w:rPr>
              <m:t>sn</m:t>
            </m:r>
          </m:sub>
        </m:sSub>
      </m:oMath>
      <w:r>
        <w:rPr>
          <w:rFonts w:eastAsiaTheme="minorEastAsia"/>
        </w:rPr>
        <w:t xml:space="preserve"> et </w:t>
      </w:r>
      <m:oMath>
        <m:sSub>
          <m:sSubPr>
            <m:ctrlPr>
              <w:rPr>
                <w:rFonts w:ascii="Cambria Math" w:hAnsi="Cambria Math"/>
                <w:i w:val="0"/>
              </w:rPr>
            </m:ctrlPr>
          </m:sSubPr>
          <m:e>
            <m:r>
              <w:rPr>
                <w:rFonts w:ascii="Cambria Math" w:hAnsi="Cambria Math"/>
              </w:rPr>
              <m:t>b</m:t>
            </m:r>
          </m:e>
          <m:sub>
            <m:r>
              <w:rPr>
                <w:rFonts w:ascii="Cambria Math" w:hAnsi="Cambria Math"/>
              </w:rPr>
              <m:t>sn</m:t>
            </m:r>
          </m:sub>
        </m:sSub>
      </m:oMath>
      <w:r>
        <w:rPr>
          <w:rFonts w:eastAsiaTheme="minorEastAsia"/>
        </w:rPr>
        <w:t xml:space="preserve"> pour la neige humide et la neige sèche</w:t>
      </w:r>
    </w:p>
    <w:p w14:paraId="29876A22" w14:textId="391913AF" w:rsidR="00186801" w:rsidRDefault="00186801" w:rsidP="00AF3289">
      <w:pPr>
        <w:jc w:val="both"/>
      </w:pPr>
      <w:r>
        <w:t xml:space="preserve">Néanmoins ce modèle n’est valide que pour des liaisons terre-terre et leur validité n’a pas été démontré pour des hautes latitudes où la nature des hydrométéores est très variante selon les conditions climatiques. </w:t>
      </w:r>
    </w:p>
    <w:p w14:paraId="1214ECEE" w14:textId="5E1A4933" w:rsidR="00186801" w:rsidRDefault="00186801" w:rsidP="00AF3289">
      <w:pPr>
        <w:jc w:val="both"/>
      </w:pPr>
      <w:r>
        <w:t xml:space="preserve">D’autres modèles </w:t>
      </w:r>
      <w:r w:rsidR="005151B7">
        <w:t>permettent de déterminer l’atténuation de la neige atténuer au sol (ou sur un radome) dans les recommandations ITU-R mais ne seront pas étudiés ici.</w:t>
      </w:r>
    </w:p>
    <w:p w14:paraId="1FB2F6C5" w14:textId="4C46F6F0" w:rsidR="00AF3289" w:rsidRDefault="005151B7" w:rsidP="00AF3289">
      <w:pPr>
        <w:jc w:val="both"/>
      </w:pPr>
      <w:r>
        <w:t>Concernant les liaisons satellite-terre</w:t>
      </w:r>
      <w:r w:rsidR="00AF3289" w:rsidRPr="00A173F8">
        <w:t xml:space="preserve">, une </w:t>
      </w:r>
      <w:r w:rsidR="00AF3289">
        <w:t>première avancé</w:t>
      </w:r>
      <w:r w:rsidR="00AF3289" w:rsidRPr="00A173F8">
        <w:t xml:space="preserve"> a été réalisée dans l'étude </w:t>
      </w:r>
      <w:r w:rsidR="00AF3289">
        <w:fldChar w:fldCharType="begin"/>
      </w:r>
      <w:r w:rsidR="00AF3289">
        <w:instrText xml:space="preserve"> ADDIN ZOTERO_ITEM CSL_CITATION {"citationID":"QvCiKNfy","properties":{"formattedCitation":"(Queyrel, s.\\uc0\\u160{}d.)","plainCitation":"(Queyrel, s. d.)","dontUpdate":true,"noteIndex":0},"citationItems":[{"id":56,"uris":["http://zotero.org/users/local/n6fh7qN8/items/F4TYEKK4"],"itemData":{"id":56,"type":"article-journal","abstract":"The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AF3289">
        <w:fldChar w:fldCharType="separate"/>
      </w:r>
      <w:r w:rsidR="00AF3289">
        <w:rPr>
          <w:rFonts w:ascii="Calibri" w:hAnsi="Calibri" w:cs="Calibri"/>
          <w:szCs w:val="24"/>
        </w:rPr>
        <w:t>(Queyrel, 2021</w:t>
      </w:r>
      <w:r w:rsidR="00AF3289" w:rsidRPr="00696665">
        <w:rPr>
          <w:rFonts w:ascii="Calibri" w:hAnsi="Calibri" w:cs="Calibri"/>
          <w:szCs w:val="24"/>
        </w:rPr>
        <w:t>)</w:t>
      </w:r>
      <w:r w:rsidR="00AF3289">
        <w:fldChar w:fldCharType="end"/>
      </w:r>
      <w:r w:rsidR="00AF3289">
        <w:t xml:space="preserve"> où l’auteur</w:t>
      </w:r>
      <w:r w:rsidR="00AF3289" w:rsidRPr="00A173F8">
        <w:t xml:space="preserve"> </w:t>
      </w:r>
      <w:r w:rsidR="00AF3289">
        <w:t>a</w:t>
      </w:r>
      <w:r w:rsidR="00AF3289" w:rsidRPr="00A173F8">
        <w:t xml:space="preserve"> développé le premier modèle détaillé permettant de calculer l'atténuation due </w:t>
      </w:r>
      <w:r w:rsidR="00AF3289">
        <w:t>à la neige</w:t>
      </w:r>
      <w:r w:rsidR="00AF3289" w:rsidRPr="00A173F8">
        <w:t xml:space="preserve">. </w:t>
      </w:r>
      <w:r w:rsidR="00AF3289">
        <w:t>Le chapitre 2 de ce travail fournit</w:t>
      </w:r>
      <w:r w:rsidR="00AF3289" w:rsidRPr="00A173F8">
        <w:t xml:space="preserve"> une analyse approfondie de ce modèle</w:t>
      </w:r>
      <w:r w:rsidR="00AF3289">
        <w:t>.</w:t>
      </w:r>
    </w:p>
    <w:p w14:paraId="2FB1A654" w14:textId="2FF3BB90" w:rsidR="00AF3289" w:rsidRDefault="00AF3289" w:rsidP="00AF3289">
      <w:pPr>
        <w:jc w:val="both"/>
      </w:pPr>
      <w:r>
        <w:t>Comme présenté ici, le calcul d'atténuation due à la pluie</w:t>
      </w:r>
      <w:r w:rsidR="005151B7">
        <w:t>, aux gaz troposphériques et aux nuages</w:t>
      </w:r>
      <w:r>
        <w:t xml:space="preserve"> </w:t>
      </w:r>
      <w:r w:rsidR="005151B7">
        <w:t>sont</w:t>
      </w:r>
      <w:r>
        <w:t xml:space="preserve"> possible grâce à </w:t>
      </w:r>
      <w:r w:rsidR="005151B7">
        <w:t>des modèles présents</w:t>
      </w:r>
      <w:r>
        <w:t xml:space="preserve"> </w:t>
      </w:r>
      <w:r w:rsidR="005151B7">
        <w:t>dans les recommandation ITU-R</w:t>
      </w:r>
      <w:r>
        <w:t xml:space="preserve"> </w:t>
      </w:r>
      <w:r w:rsidR="005151B7">
        <w:t>et ceux</w:t>
      </w:r>
      <w:r>
        <w:t xml:space="preserve"> présente une validité à l'échelle mondiale. Néanmoins, ils ont principalement été développés pour les régions tempérées et leurs performances dans les régions polaires sont généralement peu connues en raison des particularités des climats de ces régions. L’étude de l’atténuation due aux autres types d’hydrométéores présents dans les zones polaires demeure un domaine largement inexploité </w:t>
      </w:r>
      <w:r w:rsidR="005151B7">
        <w:t>mais</w:t>
      </w:r>
      <w:r>
        <w:t xml:space="preserve"> le modèle de </w:t>
      </w:r>
      <w:r>
        <w:fldChar w:fldCharType="begin"/>
      </w:r>
      <w:r>
        <w:instrText xml:space="preserve"> ADDIN ZOTERO_ITEM CSL_CITATION {"citationID":"KnZktBjH","properties":{"formattedCitation":"(J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fldChar w:fldCharType="separate"/>
      </w:r>
      <w:r w:rsidRPr="00696665">
        <w:rPr>
          <w:rFonts w:ascii="Calibri" w:hAnsi="Calibri" w:cs="Calibri"/>
        </w:rPr>
        <w:t>(J Queyrel, 2021)</w:t>
      </w:r>
      <w:r>
        <w:fldChar w:fldCharType="end"/>
      </w:r>
      <w:r w:rsidRPr="00A173F8">
        <w:t xml:space="preserve"> </w:t>
      </w:r>
      <w:r>
        <w:t>présenté au chapitre 2 semble essayer de les analyser. La section suivante examine les différents types de données disponibles aujourd'hui pour caractériser le canal de propagation radio ainsi que pour valider les modèles d'atténuation existants.</w:t>
      </w:r>
    </w:p>
    <w:p w14:paraId="1F02F890" w14:textId="77777777" w:rsidR="00AF3289" w:rsidRDefault="00AF3289" w:rsidP="008D13ED"/>
    <w:p w14:paraId="1C96A7F4" w14:textId="449052F4" w:rsidR="008D13ED" w:rsidRDefault="008D13ED" w:rsidP="008D13ED">
      <w:pPr>
        <w:pStyle w:val="Titre1"/>
        <w:numPr>
          <w:ilvl w:val="0"/>
          <w:numId w:val="1"/>
        </w:numPr>
      </w:pPr>
      <w:r>
        <w:t>Données utiles à la caractérisation du canal de propagation</w:t>
      </w:r>
    </w:p>
    <w:p w14:paraId="6FCB28F0" w14:textId="5FEE7845" w:rsidR="00C6657D" w:rsidRDefault="00C6657D" w:rsidP="00C6657D"/>
    <w:p w14:paraId="2D0230DC" w14:textId="77777777" w:rsidR="00C6657D" w:rsidRDefault="00C6657D" w:rsidP="00C6657D">
      <w:pPr>
        <w:jc w:val="both"/>
      </w:pPr>
      <w:r>
        <w:t>Une caractérisation détaillée du canal de propagation est essentielle pour le développement, l'optimisation et la validation des modèles d'atténuation. Comme vu dans la section précédente, plusieurs paramètres atmosphériques et météorologiques sont nécessaires pour calculer l'atténuation due aux gaz atmosphériques, aux nuages et aux hydrométéores, ce qui requiert des données expérimentales ou de réanalyse. De plus, des données expérimentales provenant de récepteurs balises sont nécessaires pour valider le modèle d'atténuation développé.</w:t>
      </w:r>
    </w:p>
    <w:p w14:paraId="5A88DD49" w14:textId="61E5A847" w:rsidR="00C6657D" w:rsidRDefault="00C6657D" w:rsidP="00C6657D">
      <w:pPr>
        <w:jc w:val="both"/>
      </w:pPr>
      <w:r>
        <w:t>Cette section est divisée en trois catégories. Tout d'abord,</w:t>
      </w:r>
      <w:r w:rsidR="00656FB6">
        <w:t xml:space="preserve"> un état de l’art succinct des campagnes de mesures afin de quantifier l’impact de la neige sur la propagation est présenté dans la section 4.1. Dans un second temps, l’accent est mis sur une campagne de mesure de deux ans effectuée sur l’archipel </w:t>
      </w:r>
      <w:r w:rsidR="00656FB6">
        <w:lastRenderedPageBreak/>
        <w:t>du Svalbard, en Norvège, dans la section 4.2. L</w:t>
      </w:r>
      <w:r>
        <w:t xml:space="preserve">es données météorologiques collectées à partir de </w:t>
      </w:r>
      <w:r w:rsidR="00656FB6">
        <w:t>divers types d'observations et</w:t>
      </w:r>
      <w:r>
        <w:t xml:space="preserve"> les données disponibles pour caractériser le canal de propagation SvalSat-THOR7</w:t>
      </w:r>
      <w:r w:rsidR="00656FB6" w:rsidRPr="00656FB6">
        <w:t xml:space="preserve"> </w:t>
      </w:r>
      <w:r w:rsidR="00656FB6">
        <w:t>sont exposées.</w:t>
      </w:r>
      <w:r>
        <w:t xml:space="preserve"> </w:t>
      </w:r>
      <w:r w:rsidR="00656FB6">
        <w:t>Enfin, dans la section 4.3</w:t>
      </w:r>
      <w:r>
        <w:t>, les données météorologiques provenant de bases de données de réanalyse et pouvant aider à la validation d’un modèle développé pour les hautes latitudes sont décrites.</w:t>
      </w:r>
    </w:p>
    <w:p w14:paraId="7F761549" w14:textId="2603F135" w:rsidR="00C6657D" w:rsidRDefault="00C6657D" w:rsidP="00C6657D"/>
    <w:p w14:paraId="12B70BCA" w14:textId="06C4D80F" w:rsidR="00011806" w:rsidRDefault="00011806" w:rsidP="00656FB6">
      <w:pPr>
        <w:pStyle w:val="Titre2"/>
        <w:numPr>
          <w:ilvl w:val="1"/>
          <w:numId w:val="1"/>
        </w:numPr>
      </w:pPr>
      <w:r>
        <w:t>Etat de l’art des campagnes de mesures dans le but de quantifier l’impact de la neige sur la propagation des ondes électromagnétiques</w:t>
      </w:r>
    </w:p>
    <w:p w14:paraId="08AC107D" w14:textId="77777777" w:rsidR="007F61B0" w:rsidRDefault="007F61B0" w:rsidP="007F61B0"/>
    <w:p w14:paraId="7ADD13EE" w14:textId="53C1849B" w:rsidR="007F61B0" w:rsidRDefault="007F61B0" w:rsidP="007F61B0">
      <w:pPr>
        <w:jc w:val="both"/>
      </w:pPr>
      <w:r>
        <w:t>L’impact des hydrométéores polaires, notamment la neige, sur les systèmes de communication et les transmissions sans fil reste un sujet relativement peu exploré dans la littérature scientifique. Alors que de nombreuses études se sont concentrées sur l'atténuation due à la pluie, les campagnes de mesures visant à quantifier l'influence spécifique de la neige sont remarquablement rares. Cependant, ces précieuses données sont essentielles pour comprendre les défis uniques posés par les conditions hivernales, en particulier dans les régions où les chutes de neige sont fréquentes et intenses, mais aussi pour valider un modèle d’atténuation développé pour ce genre de régions.</w:t>
      </w:r>
    </w:p>
    <w:p w14:paraId="6FCB2B7B" w14:textId="1C219C91" w:rsidR="00011806" w:rsidRDefault="00D01FD5" w:rsidP="00D01FD5">
      <w:pPr>
        <w:jc w:val="both"/>
      </w:pPr>
      <w:r>
        <w:t xml:space="preserve">Dans l’étude </w:t>
      </w:r>
      <w:r>
        <w:fldChar w:fldCharType="begin"/>
      </w:r>
      <w:r>
        <w:instrText xml:space="preserve"> ADDIN ZOTERO_ITEM CSL_CITATION {"citationID":"2JdNePuH","properties":{"formattedCitation":"(Nemarich et al., 1988)","plainCitation":"(Nemarich et al., 1988)","noteIndex":0},"citationItems":[{"id":225,"uris":["http://zotero.org/users/local/n6fh7qN8/items/Y6LPXZ3E"],"itemData":{"id":225,"type":"article-journal","abstract":"The results of measurements of backscatter cross section per unit volume and attenuation for falling snow and rain a t 96, 140, and 225 GHz a r e presented. The attenuation due to rain is almost independent of the measurement frequency, but for snow the attenuation is considerably greater a t 225 GHz than a t 96 GHz. The rain attenuation generally varies with the rain accumulation rate in accordance with an aRh relationship for a Laws and Parsons drop-size distribution. The attenuation at all three frequencies is about 3 dB/km for a rain rate of 4 mm/h. The attenuation due to snow varies linearly with airborne snow-mass concentration, with the average rates of increase being 0.9, 2.5, and 8.7 ( d B / k m ) / ( g / m 3 ) at 96, 140, and 225 GHz, respectively. Generally the attenuation for snow is lower than that for rain. The backscatter cross section per unit volume for rain at 96 GHz is about -35 dB m’/m3 for a rain rate of 4 mm/h. The backscatter from snow at 96 GHz is much lower than that for rain under equivalent accumulation rates or airborne mass concentrations. Snow backscatter a t 140 and 225 GHz is comparable but higher than that at 96 GHz.","container-title":"IEEE Transactions on Geoscience and Remote Sensing","DOI":"10.1109/36.3034","ISSN":"01962892","issue":"3","journalAbbreviation":"IEEE Trans. Geosci. Remote Sensing","language":"en","page":"319-329","source":"DOI.org (Crossref)","title":"Backscatter and attenuation by falling snow and rain at 96, 140, and 225 GHz","volume":"26","author":[{"family":"Nemarich","given":"J."},{"family":"Wellman","given":"R.J."},{"family":"Lacombe","given":"J."}],"issued":{"date-parts":[["1988",5]]}}}],"schema":"https://github.com/citation-style-language/schema/raw/master/csl-citation.json"} </w:instrText>
      </w:r>
      <w:r>
        <w:fldChar w:fldCharType="separate"/>
      </w:r>
      <w:r w:rsidRPr="00D01FD5">
        <w:rPr>
          <w:rFonts w:ascii="Calibri" w:hAnsi="Calibri"/>
        </w:rPr>
        <w:t>(Nemarich et al., 1988)</w:t>
      </w:r>
      <w:r>
        <w:fldChar w:fldCharType="end"/>
      </w:r>
      <w:r>
        <w:t>, l</w:t>
      </w:r>
      <w:r w:rsidRPr="00D01FD5">
        <w:t xml:space="preserve">es résultats de </w:t>
      </w:r>
      <w:r w:rsidR="00CE6F3D">
        <w:t xml:space="preserve">deux mois de </w:t>
      </w:r>
      <w:r w:rsidRPr="00D01FD5">
        <w:t xml:space="preserve">mesures </w:t>
      </w:r>
      <w:r w:rsidR="00CE6F3D">
        <w:t xml:space="preserve">(janvier et février 1983) à Camp </w:t>
      </w:r>
      <w:proofErr w:type="spellStart"/>
      <w:r w:rsidR="00CE6F3D">
        <w:t>Rilea</w:t>
      </w:r>
      <w:proofErr w:type="spellEnd"/>
      <w:r w:rsidR="00CE6F3D">
        <w:t xml:space="preserve">, proche de la côte pacifique des états unis, </w:t>
      </w:r>
      <w:r w:rsidRPr="00D01FD5">
        <w:t xml:space="preserve">de la section efficace de rétrodiffusion par unité de volume et de l'atténuation pour la neige en chute et la pluie aux fréquences de 96, 140 et 225 GHz sont présentés. L'atténuation due à la pluie est presque indépendante de la fréquence de mesure, mais pour la neige, l'atténuation </w:t>
      </w:r>
      <w:r>
        <w:t xml:space="preserve">augmente </w:t>
      </w:r>
      <w:r w:rsidRPr="00D01FD5">
        <w:t>considérablement</w:t>
      </w:r>
      <w:r>
        <w:t xml:space="preserve"> avec la fréquence</w:t>
      </w:r>
      <w:r w:rsidRPr="00D01FD5">
        <w:t xml:space="preserve">. L'atténuation due à la pluie varie généralement avec le taux d'accumulation de pluie conformément à une relation de type </w:t>
      </w:r>
      <m:oMath>
        <m:sSub>
          <m:sSubPr>
            <m:ctrlPr>
              <w:rPr>
                <w:rFonts w:ascii="Cambria Math" w:hAnsi="Cambria Math"/>
                <w:i/>
              </w:rPr>
            </m:ctrlPr>
          </m:sSubPr>
          <m:e>
            <m:r>
              <w:rPr>
                <w:rFonts w:ascii="Cambria Math" w:hAnsi="Cambria Math"/>
              </w:rPr>
              <m:t>a</m:t>
            </m:r>
          </m:e>
          <m:sub>
            <m:r>
              <w:rPr>
                <w:rFonts w:ascii="Cambria Math" w:hAnsi="Cambria Math"/>
              </w:rPr>
              <m:t>ra</m:t>
            </m:r>
          </m:sub>
        </m:sSub>
        <m:sSubSup>
          <m:sSubSupPr>
            <m:ctrlPr>
              <w:rPr>
                <w:rFonts w:ascii="Cambria Math" w:hAnsi="Cambria Math"/>
                <w:i/>
              </w:rPr>
            </m:ctrlPr>
          </m:sSubSupPr>
          <m:e>
            <m:r>
              <w:rPr>
                <w:rFonts w:ascii="Cambria Math" w:hAnsi="Cambria Math"/>
              </w:rPr>
              <m:t>R</m:t>
            </m:r>
          </m:e>
          <m:sub>
            <m:r>
              <w:rPr>
                <w:rFonts w:ascii="Cambria Math" w:hAnsi="Cambria Math"/>
              </w:rPr>
              <m:t>r</m:t>
            </m:r>
          </m:sub>
          <m:sup>
            <m:sSub>
              <m:sSubPr>
                <m:ctrlPr>
                  <w:rPr>
                    <w:rFonts w:ascii="Cambria Math" w:hAnsi="Cambria Math"/>
                    <w:i/>
                  </w:rPr>
                </m:ctrlPr>
              </m:sSubPr>
              <m:e>
                <m:r>
                  <w:rPr>
                    <w:rFonts w:ascii="Cambria Math" w:hAnsi="Cambria Math"/>
                  </w:rPr>
                  <m:t>b</m:t>
                </m:r>
              </m:e>
              <m:sub>
                <m:r>
                  <w:rPr>
                    <w:rFonts w:ascii="Cambria Math" w:hAnsi="Cambria Math"/>
                  </w:rPr>
                  <m:t>ra</m:t>
                </m:r>
              </m:sub>
            </m:sSub>
          </m:sup>
        </m:sSubSup>
      </m:oMath>
      <w:r w:rsidRPr="00D01FD5">
        <w:t xml:space="preserve"> pour une distribution de taille de gouttelettes selon les lois de </w:t>
      </w:r>
      <w:proofErr w:type="spellStart"/>
      <w:r w:rsidRPr="00D01FD5">
        <w:t>Laws</w:t>
      </w:r>
      <w:proofErr w:type="spellEnd"/>
      <w:r w:rsidRPr="00D01FD5">
        <w:t xml:space="preserve"> et Parsons. L'atténuation à ces troi</w:t>
      </w:r>
      <w:r w:rsidR="00CE6F3D">
        <w:t>s fréquences est d'environ 3 dB.</w:t>
      </w:r>
      <w:r w:rsidRPr="00D01FD5">
        <w:t>km</w:t>
      </w:r>
      <w:r w:rsidR="00CE6F3D" w:rsidRPr="00CE6F3D">
        <w:rPr>
          <w:vertAlign w:val="superscript"/>
        </w:rPr>
        <w:t>-1</w:t>
      </w:r>
      <w:r w:rsidRPr="00D01FD5">
        <w:t xml:space="preserve"> </w:t>
      </w:r>
      <w:r w:rsidR="00CE6F3D">
        <w:t>pour un taux de pluie de 4 mm/</w:t>
      </w:r>
      <w:r w:rsidRPr="00D01FD5">
        <w:t xml:space="preserve">h. L'atténuation due à la neige </w:t>
      </w:r>
      <w:r w:rsidR="00CE6F3D">
        <w:t xml:space="preserve">semble </w:t>
      </w:r>
      <w:r w:rsidRPr="00D01FD5">
        <w:t>varie</w:t>
      </w:r>
      <w:r w:rsidR="00CE6F3D">
        <w:t>r</w:t>
      </w:r>
      <w:r w:rsidRPr="00D01FD5">
        <w:t xml:space="preserve"> linéairement avec la concentration en </w:t>
      </w:r>
      <w:r w:rsidR="00CE6F3D" w:rsidRPr="00D01FD5">
        <w:t>masse de</w:t>
      </w:r>
      <w:r w:rsidRPr="00D01FD5">
        <w:t xml:space="preserve"> neige</w:t>
      </w:r>
      <w:r w:rsidR="00CE6F3D">
        <w:t xml:space="preserve">. </w:t>
      </w:r>
      <w:r w:rsidRPr="00D01FD5">
        <w:t xml:space="preserve">En général, l'atténuation due à la neige est plus faible que celle due à la pluie. </w:t>
      </w:r>
    </w:p>
    <w:p w14:paraId="7950374E" w14:textId="331773DA" w:rsidR="00CE6F3D" w:rsidRDefault="00CE6F3D" w:rsidP="00CE6F3D">
      <w:pPr>
        <w:jc w:val="both"/>
      </w:pPr>
      <w:r>
        <w:t xml:space="preserve">Plus récemment, dans l’étude </w:t>
      </w:r>
      <w:r>
        <w:fldChar w:fldCharType="begin"/>
      </w:r>
      <w:r>
        <w:instrText xml:space="preserve"> ADDIN ZOTERO_ITEM CSL_CITATION {"citationID":"zLEC7oEP","properties":{"formattedCitation":"(Amaya et al., 2014)","plainCitation":"(Amaya et al., 2014)","noteIndex":0},"citationItems":[{"id":223,"uris":["http://zotero.org/users/local/n6fh7qN8/items/8I776KM4"],"itemData":{"id":223,"type":"article-journal","abstract":"This investigation assesses the attenuation induced by snowfall on an experimental slant-path link that monitors the 20.199 GHz beacon signal of the Anik F2 satellite. Beacon data collected at Communications Research Centre Canada (CRC) in Ottawa over 2 years, including the winters of 2010–2011 and 2011–2012, were analyzed as part of this study. The antenna of one of the two receivers used in the propagation campaign with Anik F2 was shielded, the first year under a tent and the second year under the roof of a building, in order to prevent degradations on the measured beacon signal due to snow or ice accumulation on the parabolic reflector surface. One of the main challenges of the study was the unambiguous identification of snow events. Information provided by several weather sensors, a profiling radiometer, and meteorological reports were used to help identify the type of precipitation. Events of wet and dry snow along with freezing rain are presented and discussed. Radiometric measurements of sky noise temperature were particularly useful to detect light snowfall events and to estimate event durations. Statistics of snow attenuation were derived for the winter months of the study. It is found that snow attenuation is modest at 20.2 GHz; however, modest attenuation may be important for small-margin communication systems.","container-title":"Radio Science","DOI":"10.1002/2014RS005547","ISSN":"1944-799X","issue":"10","language":"en","note":"_eprint: https://onlinelibrary.wiley.com/doi/pdf/10.1002/2014RS005547","page":"933-944","source":"Wiley Online Library","title":"Experimental assessment of snow-induced attenuation on an Earth-space link operating at Ka-band","volume":"49","author":[{"family":"Amaya","given":"César"},{"family":"García-Rubia","given":"José-Miguel"},{"family":"Bouchard","given":"Pierre"},{"family":"Nguyen","given":"Tu"}],"issued":{"date-parts":[["2014"]]}}}],"schema":"https://github.com/citation-style-language/schema/raw/master/csl-citation.json"} </w:instrText>
      </w:r>
      <w:r>
        <w:fldChar w:fldCharType="separate"/>
      </w:r>
      <w:r w:rsidRPr="00011806">
        <w:rPr>
          <w:rFonts w:ascii="Calibri" w:hAnsi="Calibri"/>
        </w:rPr>
        <w:t>(Amaya et al., 2014)</w:t>
      </w:r>
      <w:r>
        <w:fldChar w:fldCharType="end"/>
      </w:r>
      <w:r>
        <w:t xml:space="preserve">, deux années de données provenant du signal balise de 20,2 GHz du satellite </w:t>
      </w:r>
      <w:proofErr w:type="spellStart"/>
      <w:r>
        <w:t>Anik</w:t>
      </w:r>
      <w:proofErr w:type="spellEnd"/>
      <w:r>
        <w:t xml:space="preserve"> F2 de </w:t>
      </w:r>
      <w:proofErr w:type="spellStart"/>
      <w:r>
        <w:t>Telesat</w:t>
      </w:r>
      <w:proofErr w:type="spellEnd"/>
      <w:r>
        <w:t>, y compris les hivers 2010-2011 et 2011-2012, collectées au CRC Ottawa, ont été méticuleusement traitées et analysées dans le but d'estimer la contribution de la neige à l'atténuation atmosphérique. L'antenne de l'un des deux récepteurs utilisés pour surveiller le signal balise d'</w:t>
      </w:r>
      <w:proofErr w:type="spellStart"/>
      <w:r>
        <w:t>Anik</w:t>
      </w:r>
      <w:proofErr w:type="spellEnd"/>
      <w:r>
        <w:t xml:space="preserve"> F2 a été protégée pour empêcher l'accumulation de précipitations sur sa surface. Les séries temporelles de l'atténuation induite par la neige ont été dérivées à partir des données brutes de la balise collectée par le récepteur équipé de l'antenne protégée, après l'application de modèles adaptés à chaque événement. Les statistiques produites ont montré que l'impact de la neige est non négligeable 20,2 GHz, en particulier pour les mois connaissant les plus fortes accumulations de neige, ou pour les mois qui connaissent des conditions de température plus douces et des niveaux d'humidité plus élevés (comme en mars). </w:t>
      </w:r>
    </w:p>
    <w:p w14:paraId="1636A400" w14:textId="60515FA4" w:rsidR="00D85834" w:rsidRDefault="00D85834" w:rsidP="00D85834">
      <w:pPr>
        <w:jc w:val="both"/>
      </w:pPr>
      <w:r>
        <w:t>Ces</w:t>
      </w:r>
      <w:r w:rsidRPr="00D85834">
        <w:t xml:space="preserve"> deux premières campagnes de mesures mettent en évidence l'impact significatif des précipitations neigeuses sur la propagation des ondes électromagnétiques. Elles révèl</w:t>
      </w:r>
      <w:r>
        <w:t>ent que l'effet de la neige n’est pas</w:t>
      </w:r>
      <w:r w:rsidRPr="00D85834">
        <w:t xml:space="preserve"> négligeable. De plus, ces études soulignent que l'atténuation due à la neige augmente proportionnellement à la fréquence. Cette constatation est préoccupante compte tenu de l'augmentation de la bande de fréquence des systèmes de communication visant à résoudre les problèmes de saturation des bandes inférieures à 20 GHz.</w:t>
      </w:r>
      <w:r>
        <w:t xml:space="preserve"> De plus ces deux campagnes ne se passe pas dans les hautes latitudes et donc certaines conditions, tels que les liaisons basses élévations et les </w:t>
      </w:r>
      <w:r>
        <w:lastRenderedPageBreak/>
        <w:t xml:space="preserve">température fraiches tout le long de l’année ne sont pas bien représentées. La section suivante présente la campagne de mesure </w:t>
      </w:r>
      <w:r>
        <w:fldChar w:fldCharType="begin"/>
      </w:r>
      <w:r w:rsidR="00C148A2">
        <w:instrText xml:space="preserve"> ADDIN ZOTERO_ITEM CSL_CITATION {"citationID":"E02okXVZ","properties":{"formattedCitation":"(Nessel et al., 2015)","plainCitation":"(Nessel et al., 2015)","noteIndex":0},"citationItems":[{"id":61,"uris":["http://zotero.org/users/local/n6fh7qN8/items/IZ5V4ADW"],"itemData":{"id":61,"type":"paper-conference","container-title":"2015 9th European Conference on Antennas and Propagation (EuCAP)","page":"1–5","publisher":"IEEE","source":"Google Scholar","title":"Results from three years of Ka-band propagation characterization at Svalbard, Norway","author":[{"family":"Nessel","given":"James"},{"family":"Zemba","given":"Michael"},{"family":"Morse","given":"Jacquelynne"}],"issued":{"date-parts":[["2015"]]}}}],"schema":"https://github.com/citation-style-language/schema/raw/master/csl-citation.json"} </w:instrText>
      </w:r>
      <w:r>
        <w:fldChar w:fldCharType="separate"/>
      </w:r>
      <w:r w:rsidR="00C148A2" w:rsidRPr="00C148A2">
        <w:rPr>
          <w:rFonts w:ascii="Calibri" w:hAnsi="Calibri"/>
        </w:rPr>
        <w:t>(Nessel et al., 2015)</w:t>
      </w:r>
      <w:r>
        <w:fldChar w:fldCharType="end"/>
      </w:r>
      <w:r>
        <w:t xml:space="preserve"> et les données récoltées météorologiques et en atténuation qui ont déjà permis </w:t>
      </w:r>
      <w:r w:rsidR="00316B7F">
        <w:t>la validation de</w:t>
      </w:r>
      <w:r>
        <w:t xml:space="preserve"> premières approches de modèle d’atténuation </w:t>
      </w:r>
      <w:r w:rsidR="00316B7F">
        <w:t xml:space="preserve">dues à la troposphère des hautes latitudes dans </w:t>
      </w:r>
      <w:r w:rsidR="00316B7F">
        <w:fldChar w:fldCharType="begin"/>
      </w:r>
      <w:r w:rsidR="00316B7F">
        <w:instrText xml:space="preserve"> ADDIN ZOTERO_ITEM CSL_CITATION {"citationID":"gFtZn5Pg","properties":{"formattedCitation":"(J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316B7F">
        <w:fldChar w:fldCharType="separate"/>
      </w:r>
      <w:r w:rsidR="00316B7F" w:rsidRPr="00316B7F">
        <w:rPr>
          <w:rFonts w:ascii="Calibri" w:hAnsi="Calibri"/>
        </w:rPr>
        <w:t>(J Queyrel, 2021)</w:t>
      </w:r>
      <w:r w:rsidR="00316B7F">
        <w:fldChar w:fldCharType="end"/>
      </w:r>
      <w:r w:rsidR="00316B7F">
        <w:t>.</w:t>
      </w:r>
    </w:p>
    <w:p w14:paraId="2189B585" w14:textId="4AD04C7F" w:rsidR="00011806" w:rsidRPr="00C6657D" w:rsidRDefault="00011806" w:rsidP="00C6657D"/>
    <w:p w14:paraId="5AB5FBC7" w14:textId="1DE24894" w:rsidR="008D13ED" w:rsidRDefault="006505E6" w:rsidP="00316B7F">
      <w:pPr>
        <w:pStyle w:val="Titre2"/>
        <w:numPr>
          <w:ilvl w:val="1"/>
          <w:numId w:val="1"/>
        </w:numPr>
        <w:jc w:val="both"/>
      </w:pPr>
      <w:r>
        <w:t xml:space="preserve">Données météorologiques et radioélectrique </w:t>
      </w:r>
      <w:r w:rsidR="00316B7F">
        <w:t>de la campagne expérimentale de propagation des Svalbard vers THOR7</w:t>
      </w:r>
    </w:p>
    <w:p w14:paraId="314C8CC2" w14:textId="60C0BBCD" w:rsidR="00656FB6" w:rsidRDefault="00656FB6" w:rsidP="00656FB6"/>
    <w:p w14:paraId="498F5441" w14:textId="6451066A" w:rsidR="00AC2F08" w:rsidRPr="00C148A2" w:rsidRDefault="00C148A2" w:rsidP="00C148A2">
      <w:pPr>
        <w:jc w:val="both"/>
        <w:rPr>
          <w:rFonts w:ascii="Calibri" w:hAnsi="Calibri" w:cs="Calibri"/>
        </w:rPr>
      </w:pPr>
      <w:r>
        <w:rPr>
          <w:noProof/>
          <w:lang w:val="en-US"/>
        </w:rPr>
        <w:drawing>
          <wp:anchor distT="0" distB="0" distL="114300" distR="114300" simplePos="0" relativeHeight="251691008" behindDoc="0" locked="0" layoutInCell="1" allowOverlap="1" wp14:anchorId="209D3F30" wp14:editId="71649E8D">
            <wp:simplePos x="0" y="0"/>
            <wp:positionH relativeFrom="margin">
              <wp:align>right</wp:align>
            </wp:positionH>
            <wp:positionV relativeFrom="paragraph">
              <wp:posOffset>1323340</wp:posOffset>
            </wp:positionV>
            <wp:extent cx="5760720" cy="338074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80740"/>
                    </a:xfrm>
                    <a:prstGeom prst="rect">
                      <a:avLst/>
                    </a:prstGeom>
                  </pic:spPr>
                </pic:pic>
              </a:graphicData>
            </a:graphic>
          </wp:anchor>
        </w:drawing>
      </w:r>
      <w:r w:rsidR="00316B7F">
        <w:rPr>
          <w:noProof/>
          <w:lang w:val="en-US"/>
        </w:rPr>
        <mc:AlternateContent>
          <mc:Choice Requires="wps">
            <w:drawing>
              <wp:anchor distT="0" distB="0" distL="114300" distR="114300" simplePos="0" relativeHeight="251689984" behindDoc="0" locked="0" layoutInCell="1" allowOverlap="1" wp14:anchorId="2339B85B" wp14:editId="41CEFAC9">
                <wp:simplePos x="0" y="0"/>
                <wp:positionH relativeFrom="margin">
                  <wp:align>center</wp:align>
                </wp:positionH>
                <wp:positionV relativeFrom="paragraph">
                  <wp:posOffset>4779645</wp:posOffset>
                </wp:positionV>
                <wp:extent cx="4642485" cy="635"/>
                <wp:effectExtent l="0" t="0" r="5715" b="0"/>
                <wp:wrapTopAndBottom/>
                <wp:docPr id="22" name="Zone de texte 22"/>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wps:spPr>
                      <wps:txbx>
                        <w:txbxContent>
                          <w:p w14:paraId="687EDE2B" w14:textId="2757378D" w:rsidR="00FC7555" w:rsidRPr="00A8385A" w:rsidRDefault="00FC7555" w:rsidP="00316B7F">
                            <w:pPr>
                              <w:pStyle w:val="Lgende"/>
                              <w:jc w:val="center"/>
                              <w:rPr>
                                <w:noProof/>
                              </w:rPr>
                            </w:pPr>
                            <w:r>
                              <w:t>Figure 1.9 – Station SvalSat dans l’archipel des Svalbard et la couverture du satellite THOR7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9B85B" id="Zone de texte 22" o:spid="_x0000_s1034" type="#_x0000_t202" style="position:absolute;left:0;text-align:left;margin-left:0;margin-top:376.35pt;width:365.5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LONQIAAGsEAAAOAAAAZHJzL2Uyb0RvYy54bWysVMFu2zAMvQ/YPwi6L06yNC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" stroked="f">
                <v:textbox style="mso-fit-shape-to-text:t" inset="0,0,0,0">
                  <w:txbxContent>
                    <w:p w14:paraId="687EDE2B" w14:textId="2757378D" w:rsidR="00FC7555" w:rsidRPr="00A8385A" w:rsidRDefault="00FC7555" w:rsidP="00316B7F">
                      <w:pPr>
                        <w:pStyle w:val="Lgende"/>
                        <w:jc w:val="center"/>
                        <w:rPr>
                          <w:noProof/>
                        </w:rPr>
                      </w:pPr>
                      <w:r>
                        <w:t>Figure 1.9 – Station SvalSat dans l’archipel des Svalbard et la couverture du satellite THOR7</w:t>
                      </w:r>
                    </w:p>
                  </w:txbxContent>
                </v:textbox>
                <w10:wrap type="topAndBottom" anchorx="margin"/>
              </v:shape>
            </w:pict>
          </mc:Fallback>
        </mc:AlternateContent>
      </w:r>
      <w:r w:rsidR="00316B7F" w:rsidRPr="00145C93">
        <w:t xml:space="preserve">Une expérience de propagation financée par l'ESA avec le soutien du CNES a été déployée à Svalbard (nord de la Norvège, 80° de latitude nord) afin d'étudier les perturbations de propagation dans la bande Ka causées par la troposphère à hautes latitudes et à faibles angles d'élévation dans des conditions représentatives pour les systèmes </w:t>
      </w:r>
      <w:proofErr w:type="spellStart"/>
      <w:r w:rsidR="00316B7F" w:rsidRPr="00145C93">
        <w:t>satcoms</w:t>
      </w:r>
      <w:proofErr w:type="spellEnd"/>
      <w:r w:rsidR="00316B7F" w:rsidRPr="00145C93">
        <w:t xml:space="preserve"> en orbite géostationnaire dans la région arctique</w:t>
      </w:r>
      <w:r w:rsidR="00316B7F">
        <w:t xml:space="preserve"> </w:t>
      </w:r>
      <w:r w:rsidR="00316B7F">
        <w:fldChar w:fldCharType="begin"/>
      </w:r>
      <w:r w:rsidR="00DC6475">
        <w:instrText xml:space="preserve"> ADDIN ZOTERO_ITEM CSL_CITATION {"citationID":"nBSlVUgK","properties":{"formattedCitation":"(Houts et al., 2016)","plainCitation":"(Houts et al., 2016)","dontUpdate":true,"noteIndex":0},"citationItems":[{"id":59,"uris":["http://zotero.org/users/local/n6fh7qN8/items/HPG6IKWU"],"itemData":{"id":59,"type":"paper-conference","container-title":"2016 10th European Conference on Antennas and Propagation (EuCAP)","page":"1–3","publisher":"IEEE","source":"Google Scholar","title":"Design of a Ka-band propagation terminal for atmospheric measurements in polar regions","author":[{"family":"Houts","given":"Jacquelynne R."},{"family":"Nessel","given":"James A."},{"family":"Zemba","given":"Michael J."}],"issued":{"date-parts":[["2016"]]}}}],"schema":"https://github.com/citation-style-language/schema/raw/master/csl-citation.json"} </w:instrText>
      </w:r>
      <w:r w:rsidR="00316B7F">
        <w:fldChar w:fldCharType="separate"/>
      </w:r>
      <w:r w:rsidR="00316B7F" w:rsidRPr="00354B18">
        <w:rPr>
          <w:rFonts w:ascii="Calibri" w:hAnsi="Calibri" w:cs="Calibri"/>
        </w:rPr>
        <w:t>(</w:t>
      </w:r>
      <w:r w:rsidRPr="00C148A2">
        <w:rPr>
          <w:rFonts w:ascii="Calibri" w:hAnsi="Calibri"/>
        </w:rPr>
        <w:t>Nessel et al., 2015</w:t>
      </w:r>
      <w:r w:rsidR="00316B7F" w:rsidRPr="00354B18">
        <w:rPr>
          <w:rFonts w:ascii="Calibri" w:hAnsi="Calibri" w:cs="Calibri"/>
        </w:rPr>
        <w:t>)</w:t>
      </w:r>
      <w:r w:rsidR="00316B7F">
        <w:fldChar w:fldCharType="end"/>
      </w:r>
      <w:r w:rsidR="00316B7F" w:rsidRPr="00145C93">
        <w:t xml:space="preserve">. Dans ce contexte, un récepteur balise du NASA Glenn </w:t>
      </w:r>
      <w:proofErr w:type="spellStart"/>
      <w:r w:rsidR="00316B7F" w:rsidRPr="00145C93">
        <w:t>Research</w:t>
      </w:r>
      <w:proofErr w:type="spellEnd"/>
      <w:r w:rsidR="00316B7F" w:rsidRPr="00145C93">
        <w:t xml:space="preserve"> Centre, opéré par KSAT en Norvège, </w:t>
      </w:r>
      <w:r w:rsidR="00316B7F">
        <w:t>a mesuré</w:t>
      </w:r>
      <w:r w:rsidR="00316B7F" w:rsidRPr="00145C93">
        <w:t xml:space="preserve"> le signal du satellite THOR7 à un angle d'élévation de 2,65° </w:t>
      </w:r>
      <w:r w:rsidR="00316B7F">
        <w:t>entre mars 2016 et mars 2018</w:t>
      </w:r>
      <w:r w:rsidR="00316B7F" w:rsidRPr="00145C93">
        <w:t>. L'ONERA traite et analyse les données depuis le début de l'expérience</w:t>
      </w:r>
      <w:r w:rsidR="00316B7F">
        <w:t>.</w:t>
      </w:r>
    </w:p>
    <w:p w14:paraId="4681C9A8" w14:textId="5400A69B" w:rsidR="004B58FD" w:rsidRDefault="00C148A2" w:rsidP="00316B7F">
      <w:pPr>
        <w:jc w:val="both"/>
      </w:pPr>
      <w:r w:rsidRPr="00C148A2">
        <w:t>Le récepteur balise est basé sur le récepteur de la NASA qui a été conçu et validé pour la campagne de propagation d'</w:t>
      </w:r>
      <w:proofErr w:type="spellStart"/>
      <w:r w:rsidRPr="00C148A2">
        <w:t>Alphasat</w:t>
      </w:r>
      <w:proofErr w:type="spellEnd"/>
      <w:r w:rsidRPr="00C148A2">
        <w:t xml:space="preserve"> </w:t>
      </w:r>
      <w:r>
        <w:fldChar w:fldCharType="begin"/>
      </w:r>
      <w:r>
        <w:instrText xml:space="preserve"> ADDIN ZOTERO_ITEM CSL_CITATION {"citationID":"kkb038cp","properties":{"formattedCitation":"(Nessel et al., 2014)","plainCitation":"(Nessel et al., 2014)","noteIndex":0},"citationItems":[{"id":227,"uris":["http://zotero.org/users/local/n6fh7qN8/items/ZCAKY5CG"],"itemData":{"id":227,"type":"paper-conference","abstract":"Over the next several years, NASA plans to launch several earth science missions which are expected to achieve data throughputs of 5-40 terabits per day transmitted from low earth orbiting spacecraft to ground stations. The current S-band and X-band frequency allocations in use by NASA, however, are incapable of supporting the data rates required to meet this demand. As such, NASA is in the planning stages to upgrade its existing Near Earth Network (NEN) polar ground stations to support Ka-band (25.5–27 GHz) operations. Consequently, it becomes imperative that characterization of propagation effects at these NEN sites is conducted to determine expected system performance, particularly at low elevation angles (&lt; 10deg) where spacecraft signal acquisition typically occurs. Since May 2011, NASA Glenn Research Center has installed and operated a Ka-band radiometer at the NEN site located in Svalbard, Norway. The Ka-band radiometer monitors the water vapor line, as well as 6 frequencies around 26.5 GHz at multiple elevation angles: 45deg, 20deg, and 10deg. Two-year data collection results indicate comparable performance to previously characterized northern latitude sites in the United States, i.e., Fairbanks, Alaska. It is observed that cloud cover at the Svalbard site remains the dominant loss mechanism for Ka-band links, resulting in a margin requirement of 4.1 dB to maintain link availability of 99% at 10deg elevation.","container-title":"The 8th European Conference on Antennas and Propagation (EuCAP 2014)","DOI":"10.1109/EuCAP.2014.6902587","event-place":"The Hague, Netherlands","event-title":"2014 8th European Conference on Antennas and Propagation (EuCAP)","ISBN":"978-88-907018-4-9","language":"en","page":"3511-3515","publisher":"IEEE","publisher-place":"The Hague, Netherlands","source":"DOI.org (Crossref)","title":"Results from two years of Ka-band propagation characterization at Svalbard, Norway","URL":"http://ieeexplore.ieee.org/document/6902587/","author":[{"family":"Nessel","given":"James"},{"family":"Morse","given":"Jacquelynne"},{"family":"Zemba","given":"Michael"}],"accessed":{"date-parts":[["2023",10,5]]},"issued":{"date-parts":[["2014",4]]}}}],"schema":"https://github.com/citation-style-language/schema/raw/master/csl-citation.json"} </w:instrText>
      </w:r>
      <w:r>
        <w:fldChar w:fldCharType="separate"/>
      </w:r>
      <w:r w:rsidRPr="00C148A2">
        <w:rPr>
          <w:rFonts w:ascii="Calibri" w:hAnsi="Calibri"/>
        </w:rPr>
        <w:t>(</w:t>
      </w:r>
      <w:proofErr w:type="spellStart"/>
      <w:r w:rsidRPr="00C148A2">
        <w:rPr>
          <w:rFonts w:ascii="Calibri" w:hAnsi="Calibri"/>
        </w:rPr>
        <w:t>Nessel</w:t>
      </w:r>
      <w:proofErr w:type="spellEnd"/>
      <w:r w:rsidRPr="00C148A2">
        <w:rPr>
          <w:rFonts w:ascii="Calibri" w:hAnsi="Calibri"/>
        </w:rPr>
        <w:t xml:space="preserve"> et al., 2014)</w:t>
      </w:r>
      <w:r>
        <w:fldChar w:fldCharType="end"/>
      </w:r>
      <w:r>
        <w:t xml:space="preserve">, </w:t>
      </w:r>
      <w:r w:rsidRPr="00C148A2">
        <w:t xml:space="preserve">mais modifié pour fonctionner à la fréquence de balise prévue de 20,198 GHz et comprendra un canal à polarisation croisée pour la caractérisation des effets de </w:t>
      </w:r>
      <w:r>
        <w:t>dépolarisations atmosphériques</w:t>
      </w:r>
      <w:r w:rsidRPr="00C148A2">
        <w:t xml:space="preserve">. Un réflecteur Cassegrain de 1,2 mètres reçoit un signal balise à polarisation circulaire et convertit les composants de signal en polarisation </w:t>
      </w:r>
      <w:proofErr w:type="spellStart"/>
      <w:r w:rsidR="004B58FD">
        <w:t>co</w:t>
      </w:r>
      <w:proofErr w:type="spellEnd"/>
      <w:r w:rsidR="004B58FD">
        <w:t>-polarisé et cross-polarisé</w:t>
      </w:r>
      <w:r w:rsidRPr="00C148A2">
        <w:t xml:space="preserve"> via des chaînes de réception identiques à une fréquence i</w:t>
      </w:r>
      <w:r w:rsidR="004B58FD">
        <w:t>ntermédiaire</w:t>
      </w:r>
      <w:r w:rsidRPr="00C148A2">
        <w:t xml:space="preserve"> commune de 70 MHz. Le signal de 70 MHz est transmis via fibre optique à un ordinateur de collecte de données qui échantillonne le signal reçu avec une largeur de bande de mesure finale d'environ 11 Hz. De nouvelles routines d'estimation de fréquence sont mises en œuvre dans le traitement numérique pour suivre et maximiser la plage dynamique du récepteur. Les niveaux de puissance des signaux en </w:t>
      </w:r>
      <w:proofErr w:type="spellStart"/>
      <w:r w:rsidR="004B58FD">
        <w:t>co</w:t>
      </w:r>
      <w:proofErr w:type="spellEnd"/>
      <w:r w:rsidR="004B58FD">
        <w:t xml:space="preserve">-polarisation </w:t>
      </w:r>
      <w:r w:rsidR="004B58FD">
        <w:lastRenderedPageBreak/>
        <w:t>et cross-polarisation</w:t>
      </w:r>
      <w:r w:rsidRPr="00C148A2">
        <w:t xml:space="preserve"> sont enregistrés simultanément à une fréquence maximale de 10 Hz et 1 Hz (moyenné) pour la caractérisation des phénomènes de scintillation et d'atténuation, respectivement. </w:t>
      </w:r>
    </w:p>
    <w:p w14:paraId="380461C6" w14:textId="0810FD3C" w:rsidR="00506BB8" w:rsidRDefault="00506BB8" w:rsidP="00316B7F">
      <w:pPr>
        <w:jc w:val="both"/>
      </w:pPr>
      <w:r w:rsidRPr="008C41D4">
        <w:t xml:space="preserve">Afin de dériver les séries temporelles d'atténuation totale, une inspection visuelle des données est nécessaire quotidiennement. L'inspection permet de repérer les pics et les acquisitions de données invalides, mais vise </w:t>
      </w:r>
      <w:r>
        <w:t>aussi</w:t>
      </w:r>
      <w:r w:rsidRPr="008C41D4">
        <w:t xml:space="preserve"> à identifier les événements de précipitations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lorsque les effets de diffusion ne sont plus négligeables. </w:t>
      </w:r>
      <w:r>
        <w:t>Les</w:t>
      </w:r>
      <w:r w:rsidRPr="008C41D4">
        <w:t xml:space="preserve"> sources d'informations utilisées pour cette identification </w:t>
      </w:r>
      <w:r>
        <w:t xml:space="preserve">sont des données météorologiques directement mesurées par balise elle-même. </w:t>
      </w:r>
      <w:r w:rsidRPr="008C41D4">
        <w:t xml:space="preserve">En dehors de ces événements, les données de la balise peuvent être mises à l'échelle pour obtenir une atténuation totale en utilisant l'atténuation absorbante dérivée de l'inversion de la puissance du bruit, tandis qu'à l'intérieur de ces événements, une interpolation linéaire des niveaux d'atténuation absorbante à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est réalisée.</w:t>
      </w:r>
    </w:p>
    <w:p w14:paraId="77C54553" w14:textId="2272754A" w:rsidR="00506BB8" w:rsidRDefault="000C2FE0" w:rsidP="00316B7F">
      <w:pPr>
        <w:jc w:val="both"/>
      </w:pPr>
      <w:r>
        <w:rPr>
          <w:noProof/>
          <w:lang w:val="en-US"/>
        </w:rPr>
        <w:drawing>
          <wp:anchor distT="0" distB="0" distL="114300" distR="114300" simplePos="0" relativeHeight="251692032" behindDoc="0" locked="0" layoutInCell="1" allowOverlap="1" wp14:anchorId="6DE4B6AA" wp14:editId="26CEF427">
            <wp:simplePos x="0" y="0"/>
            <wp:positionH relativeFrom="margin">
              <wp:align>center</wp:align>
            </wp:positionH>
            <wp:positionV relativeFrom="paragraph">
              <wp:posOffset>1844675</wp:posOffset>
            </wp:positionV>
            <wp:extent cx="4222115" cy="4395470"/>
            <wp:effectExtent l="0" t="0" r="6985"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2115" cy="4395470"/>
                    </a:xfrm>
                    <a:prstGeom prst="rect">
                      <a:avLst/>
                    </a:prstGeom>
                  </pic:spPr>
                </pic:pic>
              </a:graphicData>
            </a:graphic>
          </wp:anchor>
        </w:drawing>
      </w:r>
      <w:r>
        <w:rPr>
          <w:noProof/>
          <w:lang w:val="en-US"/>
        </w:rPr>
        <mc:AlternateContent>
          <mc:Choice Requires="wps">
            <w:drawing>
              <wp:anchor distT="0" distB="0" distL="114300" distR="114300" simplePos="0" relativeHeight="251694080" behindDoc="0" locked="0" layoutInCell="1" allowOverlap="1" wp14:anchorId="005C38E7" wp14:editId="18F16440">
                <wp:simplePos x="0" y="0"/>
                <wp:positionH relativeFrom="margin">
                  <wp:align>center</wp:align>
                </wp:positionH>
                <wp:positionV relativeFrom="paragraph">
                  <wp:posOffset>6254750</wp:posOffset>
                </wp:positionV>
                <wp:extent cx="495744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31354215" w14:textId="3B551AB0" w:rsidR="00FC7555" w:rsidRPr="00E43D8E" w:rsidRDefault="00FC7555" w:rsidP="000C2FE0">
                            <w:pPr>
                              <w:pStyle w:val="Lgende"/>
                              <w:jc w:val="center"/>
                              <w:rPr>
                                <w:noProof/>
                              </w:rPr>
                            </w:pPr>
                            <w:r>
                              <w:t xml:space="preserve">Figure 1.10 - </w:t>
                            </w:r>
                            <w:r w:rsidRPr="008C41D4">
                              <w:t xml:space="preserve">Séries temporelles </w:t>
                            </w:r>
                            <w:r>
                              <w:t xml:space="preserve">d’atténuations en </w:t>
                            </w:r>
                            <w:r w:rsidRPr="008C41D4">
                              <w:t xml:space="preserve">excès </w:t>
                            </w:r>
                            <w:r>
                              <w:t xml:space="preserve">(noir) </w:t>
                            </w:r>
                            <w:r w:rsidRPr="008C41D4">
                              <w:t>et totale</w:t>
                            </w:r>
                            <w:r>
                              <w:t>s</w:t>
                            </w:r>
                            <w:r w:rsidRPr="008C41D4">
                              <w:t xml:space="preserve"> </w:t>
                            </w:r>
                            <w:r>
                              <w:t xml:space="preserve">(rouge) </w:t>
                            </w:r>
                            <w:r w:rsidRPr="008C41D4">
                              <w:t>mesurées par le récepteur de balise THOR7 après traitement des données (août 2016 et janvier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C38E7" id="Zone de texte 26" o:spid="_x0000_s1035" type="#_x0000_t202" style="position:absolute;left:0;text-align:left;margin-left:0;margin-top:492.5pt;width:390.3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" stroked="f">
                <v:textbox style="mso-fit-shape-to-text:t" inset="0,0,0,0">
                  <w:txbxContent>
                    <w:p w14:paraId="31354215" w14:textId="3B551AB0" w:rsidR="00FC7555" w:rsidRPr="00E43D8E" w:rsidRDefault="00FC7555" w:rsidP="000C2FE0">
                      <w:pPr>
                        <w:pStyle w:val="Lgende"/>
                        <w:jc w:val="center"/>
                        <w:rPr>
                          <w:noProof/>
                        </w:rPr>
                      </w:pPr>
                      <w:r>
                        <w:t xml:space="preserve">Figure 1.10 - </w:t>
                      </w:r>
                      <w:r w:rsidRPr="008C41D4">
                        <w:t xml:space="preserve">Séries temporelles </w:t>
                      </w:r>
                      <w:r>
                        <w:t xml:space="preserve">d’atténuations en </w:t>
                      </w:r>
                      <w:r w:rsidRPr="008C41D4">
                        <w:t xml:space="preserve">excès </w:t>
                      </w:r>
                      <w:r>
                        <w:t xml:space="preserve">(noir) </w:t>
                      </w:r>
                      <w:r w:rsidRPr="008C41D4">
                        <w:t>et totale</w:t>
                      </w:r>
                      <w:r>
                        <w:t>s</w:t>
                      </w:r>
                      <w:r w:rsidRPr="008C41D4">
                        <w:t xml:space="preserve"> </w:t>
                      </w:r>
                      <w:r>
                        <w:t xml:space="preserve">(rouge) </w:t>
                      </w:r>
                      <w:r w:rsidRPr="008C41D4">
                        <w:t>mesurées par le récepteur de balise THOR7 après traitement des données (août 2016 et janvier 2017)</w:t>
                      </w:r>
                    </w:p>
                  </w:txbxContent>
                </v:textbox>
                <w10:wrap type="topAndBottom" anchorx="margin"/>
              </v:shape>
            </w:pict>
          </mc:Fallback>
        </mc:AlternateContent>
      </w:r>
      <w:r w:rsidR="00506BB8" w:rsidRPr="008C41D4">
        <w:t>D'avril 2016 à mars 2018, des mesures valides d'atténuation en excès (respectivement totale) ont été collectées avec une disponibilité de 92,03 % (respectivement 91,98 %) du temps : 93,27 % (93,17 %) la première année et 90,79 % (90,79 %) la deuxième année.</w:t>
      </w:r>
      <w:r w:rsidR="00506BB8">
        <w:t xml:space="preserve"> Les tables de validité des données sont présentées dans le tableau en annexe A.3 pour les données radioélectriques et météorologiques</w:t>
      </w:r>
      <w:r w:rsidR="00506BB8" w:rsidRPr="008C41D4">
        <w:t xml:space="preserve"> </w:t>
      </w:r>
      <w:r w:rsidR="00506BB8">
        <w:t>La Figure 1.9</w:t>
      </w:r>
      <w:r w:rsidR="00506BB8" w:rsidRPr="008C41D4">
        <w:t xml:space="preserve"> prése</w:t>
      </w:r>
      <w:r w:rsidR="00506BB8">
        <w:t>nte des exemples d'atténuation en excès (atténuation uniquement due aux nuages et autres types d’hydrométéores) et totale</w:t>
      </w:r>
      <w:r w:rsidR="00506BB8" w:rsidRPr="008C41D4">
        <w:t xml:space="preserve"> pour deux mois distincts.</w:t>
      </w:r>
      <w:r w:rsidR="00506BB8">
        <w:t xml:space="preserve"> Ces</w:t>
      </w:r>
      <w:r w:rsidR="00506BB8" w:rsidRPr="002C28B0">
        <w:t xml:space="preserve"> graphiques révèlent que malgré le traitement des données, celles-ci demeurent fortement bruitées, en grande partie en raison de l'abondance de scintillations dans les régions polaires. Ces scintillations, particulièrement persistantes</w:t>
      </w:r>
      <w:r w:rsidR="00506BB8">
        <w:t xml:space="preserve"> et abondantes</w:t>
      </w:r>
      <w:r w:rsidR="00506BB8" w:rsidRPr="002C28B0">
        <w:t xml:space="preserve"> dans ces zones, se révèlent difficiles à éliminer avec les méthodes actuelles de traitement.</w:t>
      </w:r>
      <w:r w:rsidR="00506BB8">
        <w:t xml:space="preserve"> </w:t>
      </w:r>
      <w:r>
        <w:t xml:space="preserve">Les méthodes de traitements utilisées sont détaillées dans </w:t>
      </w:r>
      <w:r>
        <w:fldChar w:fldCharType="begin"/>
      </w:r>
      <w:r w:rsidR="00DC6475">
        <w:instrText xml:space="preserve"> ADDIN ZOTERO_ITEM CSL_CITATION {"citationID":"qVAmxGOL","properties":{"formattedCitation":"(Rytir, s.\\uc0\\u160{}d.)","plainCitation":"(Rytir, s. d.)","dontUpdate":true,"noteIndex":0},"citationItems":[{"id":229,"uris":["http://zotero.org/users/local/n6fh7qN8/items/NP2J8VQS"],"itemData":{"id":229,"type":"article-journal","abstract":"One year of measured beacon data at 20 GHz from 3 high latitude locations in Norway are analyzed and compared with existing scintillation models. Severe fading of up to 45 dB was recorded at Isfjord Radio, while fades below 8 dB were recorded at the other locations. The measured amplitude distribution becomes highly asymmetrical during severe fading. Long term fading levels for Vadsø and Røst are lower than predicted by ITU-R, but compare well with a modified model based on a previous measurement at high latitudes. The composite model used for Isfjord Radio gives lower predictions than the measured fading values. The fading levels are also higher than recorded during previous measurement at the same location at a lower frequency. The slope observed for deep fading matches well with the deep fading part of the ITU-R model. Monthly and daily variations are most severe at Isfjord Radio and virtually absent at Røst.","language":"en","source":"Zotero","title":"Clear-air scintillation and multipath for low-elevation high-latitude satellite communication links","author":[{"family":"Rytir","given":"Martin"}]}}],"schema":"https://github.com/citation-style-language/schema/raw/master/csl-citation.json"} </w:instrText>
      </w:r>
      <w:r>
        <w:fldChar w:fldCharType="separate"/>
      </w:r>
      <w:r>
        <w:rPr>
          <w:rFonts w:ascii="Calibri" w:hAnsi="Calibri" w:cs="Times New Roman"/>
          <w:szCs w:val="24"/>
        </w:rPr>
        <w:t>(Rytir, 2015</w:t>
      </w:r>
      <w:r w:rsidRPr="000C2FE0">
        <w:rPr>
          <w:rFonts w:ascii="Calibri" w:hAnsi="Calibri" w:cs="Times New Roman"/>
          <w:szCs w:val="24"/>
        </w:rPr>
        <w:t>)</w:t>
      </w:r>
      <w:r>
        <w:fldChar w:fldCharType="end"/>
      </w:r>
      <w:r>
        <w:t>.</w:t>
      </w:r>
    </w:p>
    <w:p w14:paraId="0E880DA8" w14:textId="24726BC3" w:rsidR="000C2FE0" w:rsidRDefault="000C2FE0" w:rsidP="000C2FE0">
      <w:pPr>
        <w:jc w:val="both"/>
      </w:pPr>
      <w:r>
        <w:lastRenderedPageBreak/>
        <w:t>Un ensemble d'instruments météorologiques soutiennent le récepteur de balises, dont les sorties peuvent être utilisées pour améliorer le traitement des données comme expliqué précédemment. Les instruments présents lors de la campagne au SvalSat sont les suivants :</w:t>
      </w:r>
    </w:p>
    <w:p w14:paraId="1480AC8B" w14:textId="549CD31B" w:rsidR="000C2FE0" w:rsidRDefault="000C2FE0" w:rsidP="000C2FE0">
      <w:pPr>
        <w:pStyle w:val="Paragraphedeliste"/>
        <w:numPr>
          <w:ilvl w:val="0"/>
          <w:numId w:val="5"/>
        </w:numPr>
        <w:jc w:val="both"/>
      </w:pPr>
      <w:r>
        <w:t>Un radiomètre : plusieurs canaux entre 22 et 30GHz, qui n’ont en réalité pas été utilisés pour l'étalonnage du ciel clair dû à des incertitudes sur les mesures causées par la présence de neige humide et de par la géomètre de la liaison étudié (&lt;5°).</w:t>
      </w:r>
    </w:p>
    <w:p w14:paraId="2768010D" w14:textId="77777777" w:rsidR="000C2FE0" w:rsidRDefault="000C2FE0" w:rsidP="000C2FE0">
      <w:pPr>
        <w:pStyle w:val="Paragraphedeliste"/>
        <w:numPr>
          <w:ilvl w:val="0"/>
          <w:numId w:val="5"/>
        </w:numPr>
        <w:jc w:val="both"/>
      </w:pPr>
      <w:r>
        <w:t>Un pluviomètre optique et à bascule qui peuvent aider à identifier les événements pluvieux. Des incertitudes sur les mesures du pluviomètre à bascule lié au gel</w:t>
      </w:r>
      <w:r w:rsidRPr="004C0E5E">
        <w:t xml:space="preserve"> </w:t>
      </w:r>
      <w:r>
        <w:t>de l’appareil, due aux températures très froide de la région, ont été mise en évidence.</w:t>
      </w:r>
    </w:p>
    <w:p w14:paraId="5BFD1E2C" w14:textId="77777777" w:rsidR="000C2FE0" w:rsidRDefault="000C2FE0" w:rsidP="000C2FE0">
      <w:pPr>
        <w:pStyle w:val="Paragraphedeliste"/>
        <w:numPr>
          <w:ilvl w:val="0"/>
          <w:numId w:val="5"/>
        </w:numPr>
        <w:jc w:val="both"/>
      </w:pPr>
      <w:r>
        <w:t>Une station météo qui peut également aider à identifier les événements composés d’un anémomètre, d’un capteur de nuage infrarouge, d’un thermomètre, d’un hygromètre et d’un baromètre.</w:t>
      </w:r>
    </w:p>
    <w:p w14:paraId="0247DBE1" w14:textId="1A8BE0E8" w:rsidR="00316B7F" w:rsidRDefault="00A23F7F" w:rsidP="000C2FE0">
      <w:pPr>
        <w:jc w:val="both"/>
      </w:pPr>
      <w:r>
        <w:rPr>
          <w:noProof/>
          <w:lang w:val="en-US"/>
        </w:rPr>
        <w:drawing>
          <wp:anchor distT="0" distB="0" distL="114300" distR="114300" simplePos="0" relativeHeight="251698176" behindDoc="0" locked="0" layoutInCell="1" allowOverlap="1" wp14:anchorId="5F57720D" wp14:editId="033FE5B3">
            <wp:simplePos x="0" y="0"/>
            <wp:positionH relativeFrom="margin">
              <wp:align>right</wp:align>
            </wp:positionH>
            <wp:positionV relativeFrom="paragraph">
              <wp:posOffset>788670</wp:posOffset>
            </wp:positionV>
            <wp:extent cx="5760720" cy="2848610"/>
            <wp:effectExtent l="0" t="0" r="0" b="889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848610"/>
                    </a:xfrm>
                    <a:prstGeom prst="rect">
                      <a:avLst/>
                    </a:prstGeom>
                  </pic:spPr>
                </pic:pic>
              </a:graphicData>
            </a:graphic>
          </wp:anchor>
        </w:drawing>
      </w:r>
      <w:r w:rsidR="00054117">
        <w:rPr>
          <w:noProof/>
          <w:lang w:val="en-US"/>
        </w:rPr>
        <mc:AlternateContent>
          <mc:Choice Requires="wps">
            <w:drawing>
              <wp:anchor distT="0" distB="0" distL="114300" distR="114300" simplePos="0" relativeHeight="251697152" behindDoc="0" locked="0" layoutInCell="1" allowOverlap="1" wp14:anchorId="669D98C4" wp14:editId="6339ED8E">
                <wp:simplePos x="0" y="0"/>
                <wp:positionH relativeFrom="column">
                  <wp:posOffset>0</wp:posOffset>
                </wp:positionH>
                <wp:positionV relativeFrom="paragraph">
                  <wp:posOffset>3739515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CAEE45" w14:textId="7C071B19" w:rsidR="00FC7555" w:rsidRPr="00D65D8D" w:rsidRDefault="00FC7555" w:rsidP="00054117">
                            <w:pPr>
                              <w:pStyle w:val="Lgende"/>
                              <w:jc w:val="center"/>
                              <w:rPr>
                                <w:noProof/>
                              </w:rPr>
                            </w:pPr>
                            <w:r>
                              <w:t xml:space="preserve">Figure 1.11 – Données en température (a), pression (b), humidité (c) et de taux de précipitations (d) mesurées avec les appareils météorologiques </w:t>
                            </w:r>
                            <w:r w:rsidRPr="00D65D8D">
                              <w:rPr>
                                <w:noProof/>
                              </w:rPr>
                              <w:t>présent</w:t>
                            </w:r>
                            <w:r>
                              <w:rPr>
                                <w:noProof/>
                              </w:rPr>
                              <w:t xml:space="preserve"> lors de la campagne.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D98C4" id="Zone de texte 28" o:spid="_x0000_s1036" type="#_x0000_t202" style="position:absolute;left:0;text-align:left;margin-left:0;margin-top:294.45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" stroked="f">
                <v:textbox style="mso-fit-shape-to-text:t" inset="0,0,0,0">
                  <w:txbxContent>
                    <w:p w14:paraId="68CAEE45" w14:textId="7C071B19" w:rsidR="00FC7555" w:rsidRPr="00D65D8D" w:rsidRDefault="00FC7555" w:rsidP="00054117">
                      <w:pPr>
                        <w:pStyle w:val="Lgende"/>
                        <w:jc w:val="center"/>
                        <w:rPr>
                          <w:noProof/>
                        </w:rPr>
                      </w:pPr>
                      <w:r>
                        <w:t xml:space="preserve">Figure 1.11 – Données en température (a), pression (b), humidité (c) et de taux de précipitations (d) mesurées avec les appareils météorologiques </w:t>
                      </w:r>
                      <w:r w:rsidRPr="00D65D8D">
                        <w:rPr>
                          <w:noProof/>
                        </w:rPr>
                        <w:t>présent</w:t>
                      </w:r>
                      <w:r>
                        <w:rPr>
                          <w:noProof/>
                        </w:rPr>
                        <w:t xml:space="preserve"> lors de la campagne. </w:t>
                      </w:r>
                    </w:p>
                  </w:txbxContent>
                </v:textbox>
                <w10:wrap type="topAndBottom"/>
              </v:shape>
            </w:pict>
          </mc:Fallback>
        </mc:AlternateContent>
      </w:r>
      <w:r w:rsidR="000C2FE0" w:rsidRPr="008C41D4">
        <w:t>Les paramètres de surface, y compris les mesures du pluviomètre à augets basculants, sont disponibles pendant 91,71 % du temps (91,67 % la première année, 91,75 % la deuxième année), et les données collectées à partir d'un pluviomètre optique sont disponibles pendant 71,76 % du temps (79,63 % la première année, 63,88 % la deuxième année).</w:t>
      </w:r>
      <w:r w:rsidRPr="00A23F7F">
        <w:rPr>
          <w:noProof/>
        </w:rPr>
        <w:t xml:space="preserve"> </w:t>
      </w:r>
    </w:p>
    <w:p w14:paraId="5325C1B3" w14:textId="7B856395" w:rsidR="00054117" w:rsidRDefault="00054117" w:rsidP="00054117">
      <w:pPr>
        <w:keepNext/>
        <w:jc w:val="both"/>
      </w:pPr>
      <w:r>
        <w:t xml:space="preserve">La figure 1.11 montre des données météorologiques mesurées lors de la campagne à SvalSat. Les données température (a), pression (b), humidité (c) et la quantité équivalente en eau liquide de précipitation (d) sont </w:t>
      </w:r>
      <w:r w:rsidR="004A20B5">
        <w:t>affichés</w:t>
      </w:r>
      <w:r>
        <w:t xml:space="preserve"> pour l’entièreté du mois de février 2017. </w:t>
      </w:r>
      <w:r w:rsidR="00A23F7F">
        <w:t xml:space="preserve">Les résultats en traits pleins correspondent aux données de la stations météos et en pointillé pour la figure (d) sont présenté les données du radiomètre. </w:t>
      </w:r>
      <w:r w:rsidR="004A20B5">
        <w:t xml:space="preserve">Les résultats sont </w:t>
      </w:r>
      <w:proofErr w:type="spellStart"/>
      <w:r w:rsidR="004A20B5">
        <w:t>ti</w:t>
      </w:r>
      <w:r>
        <w:t>piques</w:t>
      </w:r>
      <w:proofErr w:type="spellEnd"/>
      <w:r>
        <w:t xml:space="preserve"> des régions polaires. On y remarque des température faibles et variantes pouvant passer de 0°C à -20°C en quelques jours</w:t>
      </w:r>
      <w:r w:rsidR="00A23F7F">
        <w:t xml:space="preserve"> dans la figure(a)</w:t>
      </w:r>
      <w:r>
        <w:t>. La pression est assez stable</w:t>
      </w:r>
      <w:r w:rsidR="00A23F7F">
        <w:t xml:space="preserve"> (figure (b))</w:t>
      </w:r>
      <w:r>
        <w:t xml:space="preserve"> et</w:t>
      </w:r>
      <w:r w:rsidR="00A23F7F">
        <w:t xml:space="preserve"> l’air assez humide, atteignant même les 100% quelques temps (figure (c)).  Un point important à remarquer dans la figure (d) est la disparité des résultats entre le radiomètre et la station météorologiques (mesure par un </w:t>
      </w:r>
      <w:proofErr w:type="spellStart"/>
      <w:r w:rsidR="00A23F7F">
        <w:t>tipping</w:t>
      </w:r>
      <w:proofErr w:type="spellEnd"/>
      <w:r w:rsidR="00A23F7F">
        <w:t xml:space="preserve"> </w:t>
      </w:r>
      <w:proofErr w:type="spellStart"/>
      <w:r w:rsidR="00A23F7F">
        <w:t>bucket</w:t>
      </w:r>
      <w:proofErr w:type="spellEnd"/>
      <w:r w:rsidR="00A23F7F">
        <w:t xml:space="preserve">). De nombreuses explications liés aux conditions météorologiques peuvent expliquer de tels écarts tels que le gel du </w:t>
      </w:r>
      <w:proofErr w:type="spellStart"/>
      <w:r w:rsidR="00A23F7F">
        <w:t>tipping</w:t>
      </w:r>
      <w:proofErr w:type="spellEnd"/>
      <w:r w:rsidR="00A23F7F">
        <w:t xml:space="preserve"> </w:t>
      </w:r>
      <w:proofErr w:type="spellStart"/>
      <w:r w:rsidR="00A23F7F">
        <w:t>bucket</w:t>
      </w:r>
      <w:proofErr w:type="spellEnd"/>
      <w:r w:rsidR="00A23F7F">
        <w:t xml:space="preserve"> dû à la température très faibles ou bien des dépôts</w:t>
      </w:r>
      <w:r w:rsidR="001600B3">
        <w:t xml:space="preserve"> de neige sur le radiomètre, mais de tels graphiques </w:t>
      </w:r>
      <w:r w:rsidR="004A20B5">
        <w:lastRenderedPageBreak/>
        <w:t>montrent</w:t>
      </w:r>
      <w:r w:rsidR="001600B3">
        <w:t xml:space="preserve"> la vigilance avec laquelle le</w:t>
      </w:r>
      <w:r w:rsidR="004A20B5">
        <w:t>s données doivent être évaluées et la difficulté à récolter des données fiables dans des zones aussi hostiles.</w:t>
      </w:r>
    </w:p>
    <w:p w14:paraId="0AADAA06" w14:textId="59403AC5" w:rsidR="00316B7F" w:rsidRDefault="00316B7F" w:rsidP="00316B7F">
      <w:pPr>
        <w:jc w:val="both"/>
      </w:pPr>
    </w:p>
    <w:p w14:paraId="01D7C339" w14:textId="04CEF4F2" w:rsidR="000C2FE0" w:rsidRDefault="001600B3" w:rsidP="00316B7F">
      <w:pPr>
        <w:jc w:val="both"/>
      </w:pPr>
      <w:r w:rsidRPr="00014C60">
        <w:t xml:space="preserve">En </w:t>
      </w:r>
      <w:r>
        <w:t>conclusion</w:t>
      </w:r>
      <w:r w:rsidRPr="00014C60">
        <w:t xml:space="preserve">, une expérimentation de propagation, financée par l'ESA avec le soutien du CNES, a été déployée aux Svalbard dans le but d'analyser les perturbations atmosphériques affectant la propagation des ondes électromagnétiques en bande KA dans les régions de hautes latitudes. Enrichies par les relevés météorologiques locaux, notamment la température, la pression, l'humidité et les taux de précipitations, ces données, bien que soumises à un bruit significatif en raison de la scintillation, et malgré les incertitudes liées aux conditions climatiques difficiles, constituent une </w:t>
      </w:r>
      <w:r>
        <w:t xml:space="preserve">bonne </w:t>
      </w:r>
      <w:r w:rsidRPr="00014C60">
        <w:t>base pour la validation du modèle développé dans cette étude.</w:t>
      </w:r>
      <w:r>
        <w:t xml:space="preserve"> Néanmoins, aux vues des conditions climatiques difficiles, la précision des données est incertaine. Avec ces incertitudes, couplés à l’investissement conséquent que représente ce genre de campagne expérimentale, une tendance visant s’appuyer sur des méthodes numériques pour étudier la propagation des ondes électromagnétiques dans l’atmosphère s’étends peu à peu. </w:t>
      </w:r>
      <w:r w:rsidR="004A20B5">
        <w:tab/>
      </w:r>
      <w:r w:rsidR="004A20B5">
        <w:br/>
      </w:r>
      <w:r>
        <w:t>Le manque de météorologiques expérimentales dans le cadre de validation de modèle numérique de propagation des ondes dans l’atmosphère peut en partie être comblé par des données issues de bases de réanalyse. Les bases de données météorologiques de références pour la troposphère des hautes latitudes sont présentées dans la section suivante.</w:t>
      </w:r>
    </w:p>
    <w:p w14:paraId="02624E7A" w14:textId="77777777" w:rsidR="00316B7F" w:rsidRPr="00656FB6" w:rsidRDefault="00316B7F" w:rsidP="00656FB6"/>
    <w:p w14:paraId="1288EDB8" w14:textId="77777777" w:rsidR="006505E6" w:rsidRDefault="006505E6" w:rsidP="006505E6">
      <w:pPr>
        <w:pStyle w:val="Titre2"/>
        <w:numPr>
          <w:ilvl w:val="1"/>
          <w:numId w:val="1"/>
        </w:numPr>
      </w:pPr>
      <w:r>
        <w:t>Données météorologiques de réanalyse</w:t>
      </w:r>
    </w:p>
    <w:p w14:paraId="2A1458F4" w14:textId="129794B9" w:rsidR="006505E6" w:rsidRDefault="006505E6" w:rsidP="006505E6"/>
    <w:p w14:paraId="30329555" w14:textId="1F33E716" w:rsidR="00310EF5" w:rsidRDefault="00310EF5" w:rsidP="004A20B5">
      <w:pPr>
        <w:tabs>
          <w:tab w:val="left" w:pos="2983"/>
        </w:tabs>
        <w:jc w:val="both"/>
      </w:pPr>
      <w:r w:rsidRPr="00310EF5">
        <w:t>Dans la section précédente, nous avons examiné les défis rencontrés lors des campagnes expérimentales de collecte de données dans les zones de hautes latitudes, où les conditions météorologiques difficiles rendent ces opérations extrêmement complexes. Face à ces obstacles, nous nous tournons vers le renforcement des données à travers les bases de données de réanalyse météorologiques pour valider nos simulations météorologiques. Les données de réanalyse météorologique sont des ensembles de données élaborés à partir d'observations météorologiques, de satellites et de modèles numériques complexes. Ces bases offrent un accès détaillé à une gamme variée de paramètres météorologiques tels que la pression atmosphérique, la température, les taux de vapeur d'eau, la teneur en eau liquide des précipitations, la vitesse du vent, et bien d'autres. Dans les sous-sections suivantes, nous présenterons en détail trois importantes bases de données météorologiques utilisées dans notre étude : ERA5 (section 4.3.1), CARRA (section 4.3.2) et AROME</w:t>
      </w:r>
      <w:r w:rsidR="00F32921">
        <w:t>-</w:t>
      </w:r>
      <w:r w:rsidRPr="00310EF5">
        <w:t>ARTIC (section 4.3.3). Ces ressources jouent un rôle essentiel dans notre recherche en nous permettant de mieux comprendre et d'interpréter les phénomènes météorologiques dans les régions les plus inhospitalières de notre planète.</w:t>
      </w:r>
    </w:p>
    <w:p w14:paraId="5C314882" w14:textId="3528E960" w:rsidR="004A20B5" w:rsidRDefault="004A20B5" w:rsidP="006505E6"/>
    <w:p w14:paraId="7D8DD08D" w14:textId="06CCDED9" w:rsidR="00310EF5" w:rsidRDefault="00310EF5" w:rsidP="00310EF5">
      <w:pPr>
        <w:pStyle w:val="Titre3"/>
        <w:numPr>
          <w:ilvl w:val="2"/>
          <w:numId w:val="1"/>
        </w:numPr>
      </w:pPr>
      <w:r>
        <w:t>Données de réanalyse ERA5</w:t>
      </w:r>
    </w:p>
    <w:p w14:paraId="7C8DE905" w14:textId="6B315BE0" w:rsidR="00310EF5" w:rsidRDefault="00310EF5" w:rsidP="00310EF5"/>
    <w:p w14:paraId="504B3106" w14:textId="6F794EA6" w:rsidR="00DC6475" w:rsidRDefault="00DC6475" w:rsidP="00DC6475">
      <w:pPr>
        <w:jc w:val="both"/>
      </w:pPr>
      <w:r>
        <w:t xml:space="preserve">ERA5 </w:t>
      </w:r>
      <w:r>
        <w:fldChar w:fldCharType="begin"/>
      </w:r>
      <w:r>
        <w:instrText xml:space="preserve"> ADDIN ZOTERO_ITEM CSL_CITATION {"citationID":"SlAKMbKI","properties":{"formattedCitation":"(Hersbach et al., 2020)","plainCitation":"(Hersbach et al., 2020)","noteIndex":0},"citationItems":[{"id":63,"uris":["http://zotero.org/users/local/n6fh7qN8/items/4XLT9D66"],"itemData":{"id":63,"type":"article-journal","abstract":"Abstract\n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reanalyses.","container-title":"Quarterly Journal of the Royal Meteorological Society","DOI":"10.1002/qj.3803","ISSN":"0035-9009, 1477-870X","issue":"730","journalAbbreviation":"Quart J Royal Meteoro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De Rosnay","given":"Patricia"},{"family":"Rozum","given":"Iryna"},{"family":"Vamborg","given":"Freja"},{"family":"Villaume","given":"Sebastien"},{"family":"Thépaut","given":"Jean‐Noël"}],"issued":{"date-parts":[["2020",7]]}}}],"schema":"https://github.com/citation-style-language/schema/raw/master/csl-citation.json"} </w:instrText>
      </w:r>
      <w:r>
        <w:fldChar w:fldCharType="separate"/>
      </w:r>
      <w:r w:rsidRPr="00DC6475">
        <w:rPr>
          <w:rFonts w:ascii="Calibri" w:hAnsi="Calibri" w:cs="Calibri"/>
        </w:rPr>
        <w:t>(Hersbach et al., 2020)</w:t>
      </w:r>
      <w:r>
        <w:fldChar w:fldCharType="end"/>
      </w:r>
      <w:r>
        <w:t xml:space="preserve">, produit par le Centre européen pour les prévisions météorologiques à moyen terme (ECMWF), est l'une des ressources les plus précieuses dans le domaine des données de réanalyse météorologique. Elle offre un aperçu complet et détaillé des conditions atmosphériques mondiales sur une période allant de 1979 à nos jours. En tant que cinquième génération des séries ERA, ERA5 repousse les limites de l'analyse météorologique, fournissant des données à une résolution </w:t>
      </w:r>
      <w:r>
        <w:lastRenderedPageBreak/>
        <w:t>spatiale de 0,25 degré (environ 30x10km² dans les zones polaires) et une résolution temporelle horaire. Cette richesse de détails en fait un outil inestimable pour un large éventail d'applications scientifiques et de recherches, notamment dans les domaines de la climatologie, de la météorologie, et de la modélisation des phénomènes atmosphériques. ERA5</w:t>
      </w:r>
      <w:r w:rsidRPr="00DC6475">
        <w:t xml:space="preserve"> </w:t>
      </w:r>
      <w:r>
        <w:t xml:space="preserve">remplace les anciennes bases de données de l'ECMWF telles que ERA-40 </w:t>
      </w:r>
      <w:r>
        <w:fldChar w:fldCharType="begin"/>
      </w:r>
      <w:r>
        <w:instrText xml:space="preserve"> ADDIN ZOTERO_ITEM CSL_CITATION {"citationID":"NjAwfooV","properties":{"formattedCitation":"(Uppala et al., 2005)","plainCitation":"(Uppala et al., 2005)","noteIndex":0},"citationItems":[{"id":66,"uris":["http://zotero.org/users/local/n6fh7qN8/items/LBRLJUMR"],"itemData":{"id":66,"type":"article-journal","container-title":"Quarterly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fldChar w:fldCharType="separate"/>
      </w:r>
      <w:r w:rsidRPr="004A7FB8">
        <w:rPr>
          <w:rFonts w:ascii="Calibri" w:hAnsi="Calibri" w:cs="Calibri"/>
        </w:rPr>
        <w:t>(Uppala et al., 2005)</w:t>
      </w:r>
      <w:r>
        <w:fldChar w:fldCharType="end"/>
      </w:r>
      <w:r>
        <w:t xml:space="preserve"> et ERA-</w:t>
      </w:r>
      <w:proofErr w:type="spellStart"/>
      <w:r>
        <w:t>Interim</w:t>
      </w:r>
      <w:proofErr w:type="spellEnd"/>
      <w:r>
        <w:t xml:space="preserve"> </w:t>
      </w:r>
      <w:r>
        <w:fldChar w:fldCharType="begin"/>
      </w:r>
      <w:r>
        <w:instrText xml:space="preserve"> ADDIN ZOTERO_ITEM CSL_CITATION {"citationID":"P6awhOjQ","properties":{"formattedCitation":"(Dee et al., 2011)","plainCitation":"(Dee et al., 2011)","noteIndex":0},"citationItems":[{"id":69,"uris":["http://zotero.org/users/local/n6fh7qN8/items/W7AED7AM"],"itemData":{"id":69,"type":"article-journal","container-title":"Quarterly Journal of the Royal Meteorological Society","DOI":"10.1002/qj.828","ISSN":"00359009","issue":"656","journalAbbreviation":"Q.J.R. Meteorol. Soc.","language":"en","page":"553-597","source":"DOI.org (Crossref)","title":"The ERA-Interim reanalysis: configuration and performance of the data assimilation system","title-short":"The ERA-Interim reanalysis","volume":"137","author":[{"family":"Dee","given":"D. P."},{"family":"Uppala","given":"S. M."},{"family":"Simmons","given":"A. J."},{"family":"Berrisford","given":"P."},{"family":"Poli","given":"P."},{"family":"Kobayashi","given":"S."},{"family":"Andrae","given":"U."},{"family":"Balmaseda","given":"M. A."},{"family":"Balsamo","given":"G."},{"family":"Bauer","given":"P."},{"family":"Bechtold","given":"P."},{"family":"Beljaars","given":"A. C. M."},{"family":"Van De Berg","given":"L."},{"family":"Bidlot","given":"J."},{"family":"Bormann","given":"N."},{"family":"Delsol","given":"C."},{"family":"Dragani","given":"R."},{"family":"Fuentes","given":"M."},{"family":"Geer","given":"A. J."},{"family":"Haimberger","given":"L."},{"family":"Healy","given":"S. B."},{"family":"Hersbach","given":"H."},{"family":"Hólm","given":"E. V."},{"family":"Isaksen","given":"L."},{"family":"Kållberg","given":"P."},{"family":"Köhler","given":"M."},{"family":"Matricardi","given":"M."},{"family":"McNally","given":"A. P."},{"family":"Monge-Sanz","given":"B. M."},{"family":"Morcrette","given":"J.-J."},{"family":"Park","given":"B.-K."},{"family":"Peubey","given":"C."},{"family":"De Rosnay","given":"P."},{"family":"Tavolato","given":"C."},{"family":"Thépaut","given":"J.-N."},{"family":"Vitart","given":"F."}],"issued":{"date-parts":[["2011",4]]}}}],"schema":"https://github.com/citation-style-language/schema/raw/master/csl-citation.json"} </w:instrText>
      </w:r>
      <w:r>
        <w:fldChar w:fldCharType="separate"/>
      </w:r>
      <w:r w:rsidRPr="004A7FB8">
        <w:rPr>
          <w:rFonts w:ascii="Calibri" w:hAnsi="Calibri" w:cs="Calibri"/>
        </w:rPr>
        <w:t>(Dee et al., 2011)</w:t>
      </w:r>
      <w:r>
        <w:fldChar w:fldCharType="end"/>
      </w:r>
      <w:r>
        <w:t xml:space="preserve"> qui sont utilisées par plusieurs Recommandations de l'ITU-R pour calculer des cartes mondiales </w:t>
      </w:r>
      <w:r>
        <w:fldChar w:fldCharType="begin"/>
      </w:r>
      <w:r>
        <w:instrText xml:space="preserve"> ADDIN ZOTERO_ITEM CSL_CITATION {"citationID":"QskYI2AX","properties":{"formattedCitation":"(Berrisford et al., 2011; Uppala et al., 2005)","plainCitation":"(Berrisford et al., 2011; Uppala et al., 2005)","noteIndex":0},"citationItems":[{"id":71,"uris":["http://zotero.org/users/local/n6fh7qN8/items/LES8ECDV"],"itemData":{"id":71,"type":"article-journal","container-title":"Reading, Berkshire RG2 9AX, United Kingdom","source":"Google Scholar","title":"The ERA-Interim archive [Version 2.0]. European Centre for Medium Range Weather Forecasts, Shinfield Park","author":[{"family":"Berrisford","given":"Paul"},{"family":"Dee","given":"Dick"},{"family":"Poli","given":"P."},{"family":"Brugge","given":"R."},{"family":"Fielding","given":"K."},{"family":"Fuentes","given":"M."},{"family":"Kallberg","given":"P."},{"family":"Kobayashi","given":"S."},{"family":"Uppala","given":"S."},{"family":"Simmons","given":"A."}],"issued":{"date-parts":[["2011"]]}}},{"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fldChar w:fldCharType="separate"/>
      </w:r>
      <w:r w:rsidRPr="004A7FB8">
        <w:rPr>
          <w:rFonts w:ascii="Calibri" w:hAnsi="Calibri" w:cs="Calibri"/>
        </w:rPr>
        <w:t>(Berrisford et al., 2011; Uppala et al., 2005)</w:t>
      </w:r>
      <w:r>
        <w:fldChar w:fldCharType="end"/>
      </w:r>
      <w:r>
        <w:t>.</w:t>
      </w:r>
    </w:p>
    <w:p w14:paraId="227A852E" w14:textId="2A39D430" w:rsidR="00DC6475" w:rsidRDefault="00DC6475" w:rsidP="00DC6475">
      <w:pPr>
        <w:jc w:val="both"/>
      </w:pPr>
      <w:r>
        <w:t>ERA5 offre un ensemble complet de paramètres météorologiques, permettant une analyse approfondie de l'atmosphère. Cela inclut des variables classiques telles que la pression atmosphérique, la température de l'air à différentes altitudes, les précipitations, la vitesse et la direction du vent, ainsi que des variables plus spécifiques telles que l'humidité spécifique, le rayonnement solaire et bien d'autres. La disponibilité de ces données sur une échelle temporelle horaire offre la possibilité d'observer les variations météorologiques à des intervalles de temps raisonnablement précis, facilitant ainsi l'étude des phénomènes météorologiques à différentes échelles, des événements météorologiques extrêmes aux tendances climatiques à long terme.</w:t>
      </w:r>
    </w:p>
    <w:p w14:paraId="56ED175D" w14:textId="18914274" w:rsidR="00DC6475" w:rsidRDefault="00DC6475" w:rsidP="00DC6475">
      <w:pPr>
        <w:jc w:val="both"/>
      </w:pPr>
      <w:r>
        <w:t xml:space="preserve">La précision des données ERA5 est le fruit d'une combinaison complexe d'observations in situ, de mesures satellitaires et de modèles numériques sophistiqués. Ces données sont régulièrement validées par rapport à des observations indépendantes provenant de stations météorologiques, de </w:t>
      </w:r>
      <w:r w:rsidR="00F32921">
        <w:t>ballons sondes</w:t>
      </w:r>
      <w:r>
        <w:t xml:space="preserve"> et de satellites, assurant ainsi leur</w:t>
      </w:r>
      <w:r w:rsidR="00F32921">
        <w:t>s</w:t>
      </w:r>
      <w:r>
        <w:t xml:space="preserve"> </w:t>
      </w:r>
      <w:r w:rsidR="00F32921">
        <w:t>fiabilités</w:t>
      </w:r>
      <w:r>
        <w:t xml:space="preserve"> et </w:t>
      </w:r>
      <w:r w:rsidR="00F32921">
        <w:t>leurs qualités</w:t>
      </w:r>
      <w:r>
        <w:t xml:space="preserve">. </w:t>
      </w:r>
    </w:p>
    <w:p w14:paraId="10012526" w14:textId="77777777" w:rsidR="00F32921" w:rsidRDefault="00F32921" w:rsidP="00F32921">
      <w:pPr>
        <w:jc w:val="both"/>
      </w:pPr>
      <w:r>
        <w:t>Les données disponibles dans cette base de données sont divisées en deux types :</w:t>
      </w:r>
    </w:p>
    <w:p w14:paraId="16FADF0D" w14:textId="77777777" w:rsidR="00F32921" w:rsidRDefault="00F32921" w:rsidP="00F32921">
      <w:pPr>
        <w:ind w:firstLine="708"/>
        <w:jc w:val="both"/>
      </w:pPr>
      <w:r>
        <w:t>- Données à un seul niveau : elles regroupent les paramètres de surface dans des cartes bidimensionnelles, tels que la température de surface, la pression de surface ou le contenu en eau intégré.</w:t>
      </w:r>
    </w:p>
    <w:p w14:paraId="314BAAB3" w14:textId="77777777" w:rsidR="00F32921" w:rsidRDefault="00F32921" w:rsidP="00F32921">
      <w:pPr>
        <w:ind w:firstLine="708"/>
        <w:jc w:val="both"/>
      </w:pPr>
      <w:r>
        <w:t>- Données au niveau de pression : également appelées données de profil, elles regroupent les paramètres tridimensionnels sur 37 niveaux de pression allant de 1000 hPa à 1 hPa, tels que la température, la pression, l'humidité relative ou la vitesse du vent.</w:t>
      </w:r>
    </w:p>
    <w:p w14:paraId="69A54974" w14:textId="3EE0589D" w:rsidR="006505E6" w:rsidRDefault="00F32921" w:rsidP="00F32921">
      <w:r>
        <w:t>Les deux ensembles de données présentés ici sont largement utilisés dans le travail présenté dans les chapitres suivants.</w:t>
      </w:r>
    </w:p>
    <w:p w14:paraId="365ADF81" w14:textId="573D312D" w:rsidR="00F32921" w:rsidRDefault="00F32921" w:rsidP="006505E6"/>
    <w:p w14:paraId="619478F7" w14:textId="19E9663B" w:rsidR="00F32921" w:rsidRDefault="00F32921" w:rsidP="00F32921">
      <w:pPr>
        <w:pStyle w:val="Titre3"/>
        <w:numPr>
          <w:ilvl w:val="2"/>
          <w:numId w:val="1"/>
        </w:numPr>
      </w:pPr>
      <w:r>
        <w:t xml:space="preserve">Données de réanalyse C3S </w:t>
      </w:r>
      <w:proofErr w:type="spellStart"/>
      <w:r>
        <w:t>Arctic</w:t>
      </w:r>
      <w:proofErr w:type="spellEnd"/>
      <w:r>
        <w:t xml:space="preserve"> </w:t>
      </w:r>
      <w:proofErr w:type="spellStart"/>
      <w:r>
        <w:t>Regional</w:t>
      </w:r>
      <w:proofErr w:type="spellEnd"/>
      <w:r>
        <w:t xml:space="preserve"> </w:t>
      </w:r>
      <w:proofErr w:type="spellStart"/>
      <w:r>
        <w:t>Reanalysis</w:t>
      </w:r>
      <w:proofErr w:type="spellEnd"/>
      <w:r>
        <w:t xml:space="preserve"> (CARRA)</w:t>
      </w:r>
    </w:p>
    <w:p w14:paraId="2979A2B3" w14:textId="3A636B12" w:rsidR="00F32921" w:rsidRDefault="00F32921" w:rsidP="006505E6"/>
    <w:p w14:paraId="2792E30C" w14:textId="77777777" w:rsidR="00F32921" w:rsidRDefault="00F32921" w:rsidP="00F32921">
      <w:pPr>
        <w:jc w:val="both"/>
      </w:pPr>
      <w:r>
        <w:t xml:space="preserve">Le jeu de données de réanalyse régionale arctique du C3S </w:t>
      </w:r>
      <w:r>
        <w:fldChar w:fldCharType="begin"/>
      </w:r>
      <w:r>
        <w:instrText xml:space="preserve"> ADDIN ZOTERO_ITEM CSL_CITATION {"citationID":"8W70X2Tm","properties":{"formattedCitation":"(Schyberg et al., s.\\uc0\\u160{}d.)","plainCitation":"(Schyberg et al., s. d.)","noteIndex":0},"citationItems":[{"id":75,"uris":["http://zotero.org/users/local/n6fh7qN8/items/MQF8ESBZ"],"itemData":{"id":75,"type":"article-journal","language":"en","source":"Zotero","title":"Xiaohua Yang Kristian Pagh Nielsen Bjarne Amstrup Carlos Peralta Jacob Høyer Pia Nielsen Englyst","author":[{"family":"Schyberg","given":"Harald"},{"family":"Homleid","given":"Mariken"},{"family":"Køltzow","given":"Morten A Ø"},{"family":"Randriamampianina","given":"Roger"},{"family":"Dahlgren","given":"Per"},{"family":"Støylen","given":"Eivind"},{"family":"Valkonen","given":"Teresa"},{"family":"Palmason","given":"Bolli"},{"family":"Thorsteinsson","given":"Sigurdur"},{"family":"Bojarova","given":"Jelena"},{"family":"Körnich","given":"Heiner"},{"family":"Lindskog","given":"Magnus"},{"family":"Box","given":"Jason"},{"family":"Mankoff","given":"Kenneth"}]}}],"schema":"https://github.com/citation-style-language/schema/raw/master/csl-citation.json"} </w:instrText>
      </w:r>
      <w:r>
        <w:fldChar w:fldCharType="separate"/>
      </w:r>
      <w:r w:rsidRPr="00A631D5">
        <w:rPr>
          <w:rFonts w:ascii="Calibri" w:hAnsi="Calibri" w:cs="Calibri"/>
          <w:szCs w:val="24"/>
        </w:rPr>
        <w:t xml:space="preserve">(Schyberg et al., </w:t>
      </w:r>
      <w:r>
        <w:rPr>
          <w:rFonts w:ascii="Calibri" w:hAnsi="Calibri" w:cs="Calibri"/>
          <w:szCs w:val="24"/>
        </w:rPr>
        <w:t>2020</w:t>
      </w:r>
      <w:r w:rsidRPr="00A631D5">
        <w:rPr>
          <w:rFonts w:ascii="Calibri" w:hAnsi="Calibri" w:cs="Calibri"/>
          <w:szCs w:val="24"/>
        </w:rPr>
        <w:t>)</w:t>
      </w:r>
      <w:r>
        <w:fldChar w:fldCharType="end"/>
      </w:r>
      <w:r>
        <w:t xml:space="preserve"> renferme des analyses toutes les 3 heures et des prévisions à court terme toutes les heures, portant sur des variables météorologiques atmosphériques et de surface telles que la température, l'humidité, le vent et d'autres grandeurs thermodynamiques. Ces données sont fournies à une résolution de 2,5 x 2,5km². De plus, des prévisions allant jusqu'à 30 heures, initialement basées sur les analyses effectuées à 00 et 12 UTC, sont également disponibles.</w:t>
      </w:r>
    </w:p>
    <w:p w14:paraId="130F544E" w14:textId="0439A469" w:rsidR="00F32921" w:rsidRDefault="00F32921" w:rsidP="00F32921">
      <w:pPr>
        <w:jc w:val="both"/>
      </w:pPr>
      <w:r>
        <w:t xml:space="preserve">Ce jeu de données comporte deux zones géographiques distinctes. Le domaine Ouest couvre des régions comme le Groenland, la mer du Labrador, le détroit de Davis, la baie de Baffin, le détroit du Danemark, l'Islande, Jan Mayen, la mer du Groenland et des parties de Svalbard. Tandis que le domaine Est englobe Svalbard, Franz Josef Land, </w:t>
      </w:r>
      <w:proofErr w:type="spellStart"/>
      <w:r>
        <w:t>Novaya</w:t>
      </w:r>
      <w:proofErr w:type="spellEnd"/>
      <w:r>
        <w:t xml:space="preserve"> </w:t>
      </w:r>
      <w:proofErr w:type="spellStart"/>
      <w:r>
        <w:t>Zemlya</w:t>
      </w:r>
      <w:proofErr w:type="spellEnd"/>
      <w:r>
        <w:t xml:space="preserve">, la mer de Barents, ainsi que les parties septentrionales de la mer de Norvège et de la Scandinavie (voir la figure 1.9). </w:t>
      </w:r>
      <w:r w:rsidRPr="0036342A">
        <w:t xml:space="preserve">Uniquement le domaine </w:t>
      </w:r>
      <w:r w:rsidRPr="0036342A">
        <w:lastRenderedPageBreak/>
        <w:t>de droite sera exploité dans le cadre de cette étude, étant donné que les travaux s</w:t>
      </w:r>
      <w:r>
        <w:t xml:space="preserve">e focaliseront sur les Svalbard :  </w:t>
      </w:r>
      <w:r w:rsidRPr="0036342A">
        <w:t xml:space="preserve">La position des Svalbard est très proche d'un coin du domaine de gauche, ce qui entraîne </w:t>
      </w:r>
      <w:r>
        <w:rPr>
          <w:noProof/>
          <w:lang w:val="en-US"/>
        </w:rPr>
        <mc:AlternateContent>
          <mc:Choice Requires="wps">
            <w:drawing>
              <wp:anchor distT="0" distB="0" distL="114300" distR="114300" simplePos="0" relativeHeight="251701248" behindDoc="0" locked="0" layoutInCell="1" allowOverlap="1" wp14:anchorId="3264FEC0" wp14:editId="3D8788DA">
                <wp:simplePos x="0" y="0"/>
                <wp:positionH relativeFrom="margin">
                  <wp:align>right</wp:align>
                </wp:positionH>
                <wp:positionV relativeFrom="paragraph">
                  <wp:posOffset>4526915</wp:posOffset>
                </wp:positionV>
                <wp:extent cx="5760085" cy="29654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5760085" cy="296545"/>
                        </a:xfrm>
                        <a:prstGeom prst="rect">
                          <a:avLst/>
                        </a:prstGeom>
                        <a:solidFill>
                          <a:prstClr val="white"/>
                        </a:solidFill>
                        <a:ln>
                          <a:noFill/>
                        </a:ln>
                      </wps:spPr>
                      <wps:txbx>
                        <w:txbxContent>
                          <w:p w14:paraId="4E493AD9" w14:textId="16F66840" w:rsidR="00FC7555" w:rsidRPr="00606082" w:rsidRDefault="00FC7555" w:rsidP="00F32921">
                            <w:pPr>
                              <w:pStyle w:val="Lgende"/>
                              <w:jc w:val="center"/>
                            </w:pPr>
                            <w:r>
                              <w:t xml:space="preserve">Figure 1.12 – Les deux domaines pour lesquels les données CARRA sont disponibles, un domaine Est et un domaine Ouest. </w:t>
                            </w:r>
                            <w:r>
                              <w:br/>
                              <w:t>Carte disponible sur le site Copernicus.eu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4FEC0" id="Zone de texte 16" o:spid="_x0000_s1037" type="#_x0000_t202" style="position:absolute;left:0;text-align:left;margin-left:402.35pt;margin-top:356.45pt;width:453.55pt;height:23.35pt;z-index:251701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" stroked="f">
                <v:textbox inset="0,0,0,0">
                  <w:txbxContent>
                    <w:p w14:paraId="4E493AD9" w14:textId="16F66840" w:rsidR="00FC7555" w:rsidRPr="00606082" w:rsidRDefault="00FC7555" w:rsidP="00F32921">
                      <w:pPr>
                        <w:pStyle w:val="Lgende"/>
                        <w:jc w:val="center"/>
                      </w:pPr>
                      <w:r>
                        <w:t xml:space="preserve">Figure 1.12 – Les deux domaines pour lesquels les données CARRA sont disponibles, un domaine Est et un domaine Ouest. </w:t>
                      </w:r>
                      <w:r>
                        <w:br/>
                        <w:t>Carte disponible sur le site Copernicus.eu</w:t>
                      </w:r>
                    </w:p>
                  </w:txbxContent>
                </v:textbox>
                <w10:wrap type="topAndBottom" anchorx="margin"/>
              </v:shape>
            </w:pict>
          </mc:Fallback>
        </mc:AlternateContent>
      </w:r>
      <w:r>
        <w:rPr>
          <w:noProof/>
          <w:lang w:val="en-US"/>
        </w:rPr>
        <w:drawing>
          <wp:anchor distT="0" distB="0" distL="114300" distR="114300" simplePos="0" relativeHeight="251699200" behindDoc="0" locked="0" layoutInCell="1" allowOverlap="1" wp14:anchorId="682DADFF" wp14:editId="4885E0F3">
            <wp:simplePos x="0" y="0"/>
            <wp:positionH relativeFrom="margin">
              <wp:align>right</wp:align>
            </wp:positionH>
            <wp:positionV relativeFrom="paragraph">
              <wp:posOffset>648302</wp:posOffset>
            </wp:positionV>
            <wp:extent cx="5760505" cy="3820886"/>
            <wp:effectExtent l="0" t="0" r="0" b="8255"/>
            <wp:wrapTopAndBottom/>
            <wp:docPr id="14" name="Image 14" descr="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s"/>
                    <pic:cNvPicPr>
                      <a:picLocks noChangeAspect="1" noChangeArrowheads="1"/>
                    </pic:cNvPicPr>
                  </pic:nvPicPr>
                  <pic:blipFill rotWithShape="1">
                    <a:blip r:embed="rId16">
                      <a:extLst>
                        <a:ext uri="{28A0092B-C50C-407E-A947-70E740481C1C}">
                          <a14:useLocalDpi xmlns:a14="http://schemas.microsoft.com/office/drawing/2010/main" val="0"/>
                        </a:ext>
                      </a:extLst>
                    </a:blip>
                    <a:srcRect b="16114"/>
                    <a:stretch/>
                  </pic:blipFill>
                  <pic:spPr bwMode="auto">
                    <a:xfrm>
                      <a:off x="0" y="0"/>
                      <a:ext cx="5760505" cy="38208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342A">
        <w:t xml:space="preserve">une </w:t>
      </w:r>
      <w:r>
        <w:t>imprécision sur la</w:t>
      </w:r>
      <w:r w:rsidRPr="0036342A">
        <w:t xml:space="preserve"> fiabilité des résultats obtenus dans cette région.</w:t>
      </w:r>
      <w:r>
        <w:tab/>
      </w:r>
    </w:p>
    <w:p w14:paraId="35573426" w14:textId="77777777" w:rsidR="00F32921" w:rsidRDefault="00F32921" w:rsidP="00F32921">
      <w:pPr>
        <w:jc w:val="both"/>
      </w:pPr>
      <w:r>
        <w:t>Ce jeu de données a été généré au moyen du modèle de prévision numérique du temps régional non hydrostatique de pointe, HARMONIE-AROME. Ce qui distingue les informations fournies par les données CARRA est leur résolution horizontale plus élevée, l'intégration de davantage d'observations locales (provenant des pays nordiques et du Groenland), une description plus précise des caractéristiques de surface (données satellites haute résolution et données physiographiques), une dynamique non hydrostatique à haute résolution et une paramétrisation physique améliorée des nuages et des précipitations en particulier.</w:t>
      </w:r>
    </w:p>
    <w:p w14:paraId="7CCFADC4" w14:textId="6D7875C9" w:rsidR="00F32921" w:rsidRDefault="00F32921" w:rsidP="00F32921">
      <w:pPr>
        <w:jc w:val="both"/>
      </w:pPr>
      <w:r>
        <w:t>Les sources d'entrée pour la réanalyse CARRA incluent les observations, la réanalyse globale ERA5 utilisée comme conditions aux limites, ainsi que les ensembles de données physiographiques décrivant les caractéristiques de surface du modèle. Les valeurs d'observation et les informations sont utilisées conjointement pour restreindre la réanalyse dans les régions où les observations sont disponibles, tout en fournissant des données au système d'assimilation dans les zones moins couvertes par les observations.</w:t>
      </w:r>
    </w:p>
    <w:p w14:paraId="2668D64B" w14:textId="1EF1B1A5" w:rsidR="00F32921" w:rsidRDefault="00F32921" w:rsidP="00F32921"/>
    <w:p w14:paraId="3938DBD6" w14:textId="2221158F" w:rsidR="00F32921" w:rsidRDefault="00F32921" w:rsidP="00F32921">
      <w:pPr>
        <w:pStyle w:val="Titre3"/>
        <w:numPr>
          <w:ilvl w:val="2"/>
          <w:numId w:val="1"/>
        </w:numPr>
      </w:pPr>
      <w:r>
        <w:t>Données de réanalyse AROME-ARCTIC</w:t>
      </w:r>
    </w:p>
    <w:p w14:paraId="0B79F176" w14:textId="60310273" w:rsidR="00F32921" w:rsidRDefault="00F32921" w:rsidP="00F32921"/>
    <w:p w14:paraId="1B0DC725" w14:textId="77777777" w:rsidR="00F32921" w:rsidRDefault="00F32921" w:rsidP="00F32921">
      <w:pPr>
        <w:jc w:val="both"/>
      </w:pPr>
      <w:r>
        <w:t>AROME-</w:t>
      </w:r>
      <w:proofErr w:type="spellStart"/>
      <w:r>
        <w:t>Arctic</w:t>
      </w:r>
      <w:proofErr w:type="spellEnd"/>
      <w:r>
        <w:t xml:space="preserve"> </w:t>
      </w:r>
      <w:r>
        <w:fldChar w:fldCharType="begin"/>
      </w:r>
      <w:r>
        <w:instrText xml:space="preserve"> ADDIN ZOTERO_ITEM CSL_CITATION {"citationID":"FICZ2pwX","properties":{"formattedCitation":"(Seity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fldChar w:fldCharType="separate"/>
      </w:r>
      <w:r w:rsidRPr="00A631D5">
        <w:rPr>
          <w:rFonts w:ascii="Calibri" w:hAnsi="Calibri" w:cs="Calibri"/>
        </w:rPr>
        <w:t>(</w:t>
      </w:r>
      <w:proofErr w:type="spellStart"/>
      <w:r w:rsidRPr="00A631D5">
        <w:rPr>
          <w:rFonts w:ascii="Calibri" w:hAnsi="Calibri" w:cs="Calibri"/>
        </w:rPr>
        <w:t>Seity</w:t>
      </w:r>
      <w:proofErr w:type="spellEnd"/>
      <w:r w:rsidRPr="00A631D5">
        <w:rPr>
          <w:rFonts w:ascii="Calibri" w:hAnsi="Calibri" w:cs="Calibri"/>
        </w:rPr>
        <w:t xml:space="preserve"> et al., 2011)</w:t>
      </w:r>
      <w:r>
        <w:fldChar w:fldCharType="end"/>
      </w:r>
      <w:r>
        <w:t xml:space="preserve"> est un système de prévision régionale à courte échéance à haute résolution conçu pour l'Arctique européen. Il utilise une grille de résolution de 2,5 km et comprend 65 niveaux verticaux </w:t>
      </w:r>
      <w:r>
        <w:fldChar w:fldCharType="begin"/>
      </w:r>
      <w:r>
        <w:instrText xml:space="preserve"> ADDIN ZOTERO_ITEM CSL_CITATION {"citationID":"ACjSSuRD","properties":{"formattedCitation":"(K\\uc0\\u248{}ltzow et al., 2019; M\\uc0\\u252{}ller et al., 2017)","plainCitation":"(Køltzow et al., 2019; Müller et al., 2017)","noteIndex":0},"citationItems":[{"id":82,"uris":["http://zotero.org/users/local/n6fh7qN8/items/ZIWE6IP8"],"itemData":{"id":82,"type":"article-journal","container-title":"Weather and Forecasting","issue":"4","note":"publisher: American Meteorological Society","page":"959–983","source":"Google Scholar","title":"An NWP model intercomparison of surface weather parameters in the European Arctic during the year of polar prediction special observing period Northern Hemisphere 1","volume":"34","author":[{"family":"Køltzow","given":"Morten"},{"family":"Casati","given":"Barbara"},{"family":"Bazile","given":"Eric"},{"family":"Haiden","given":"Thomas"},{"family":"Valkonen","given":"Teresa"}],"issued":{"date-parts":[["2019"]]}}},{"id":78,"uris":["http://zotero.org/users/local/n6fh7qN8/items/VN9TFL2K"],"itemData":{"id":78,"type":"article-journal","container-title":"Monthly Weather Review","issue":"12","note":"publisher: American Meteorological Society","page":"4771–4787","source":"Google Scholar","title":"Characteristics of a convective-scale weather forecasting system for the European Arctic","volume":"145","author":[{"family":"Müller","given":"Malte"},{"family":"Batrak","given":"Yurii"},{"family":"Kristiansen","given":"Jørn"},{"family":"Køltzow","given":"Morten AØ"},{"family":"Noer","given":"Gunnar"},{"family":"Korosov","given":"Anton"}],"issued":{"date-parts":[["2017"]]}}}],"schema":"https://github.com/citation-style-language/schema/raw/master/csl-citation.json"} </w:instrText>
      </w:r>
      <w:r>
        <w:fldChar w:fldCharType="separate"/>
      </w:r>
      <w:r w:rsidRPr="003D26B9">
        <w:rPr>
          <w:rFonts w:ascii="Calibri" w:hAnsi="Calibri" w:cs="Calibri"/>
          <w:szCs w:val="24"/>
        </w:rPr>
        <w:t>(Køltzow et al., 2019; Müller et al., 2017)</w:t>
      </w:r>
      <w:r>
        <w:fldChar w:fldCharType="end"/>
      </w:r>
      <w:r>
        <w:t>. Basé sur la configuration HARMONIE-</w:t>
      </w:r>
      <w:r>
        <w:lastRenderedPageBreak/>
        <w:t xml:space="preserve">AROME du système de prévision numérique du temps ALADIN-HIRLAM </w:t>
      </w:r>
      <w:r>
        <w:fldChar w:fldCharType="begin"/>
      </w:r>
      <w:r>
        <w:instrText xml:space="preserve"> ADDIN ZOTERO_ITEM CSL_CITATION {"citationID":"fDk3oNZl","properties":{"formattedCitation":"(Bengtsson et al., 2017)","plainCitation":"(Bengtsson et al., 2017)","noteIndex":0},"citationItems":[{"id":84,"uris":["http://zotero.org/users/local/n6fh7qN8/items/DLMD2YK5"],"itemData":{"id":84,"type":"article-journal","container-title":"Monthly Weather Review","issue":"5","page":"1919–1935","source":"Google Scholar","title":"The HARMONIE–AROME model configuration in the ALADIN–HIRLAM NWP system","volume":"145","author":[{"family":"Bengtsson","given":"Lisa"},{"family":"Andrae","given":"Ulf"},{"family":"Aspelien","given":"Trygve"},{"family":"Batrak","given":"Yurii"},{"family":"Calvo","given":"Javier"},{"family":"Rooy","given":"Wim","non-dropping-particle":"de"},{"family":"Gleeson","given":"Emily"},{"family":"Hansen-Sass","given":"Bent"},{"family":"Homleid","given":"Mariken"},{"family":"Hortal","given":"Mariano"}],"issued":{"date-parts":[["2017"]]}}}],"schema":"https://github.com/citation-style-language/schema/raw/master/csl-citation.json"} </w:instrText>
      </w:r>
      <w:r>
        <w:fldChar w:fldCharType="separate"/>
      </w:r>
      <w:r w:rsidRPr="003D26B9">
        <w:rPr>
          <w:rFonts w:ascii="Calibri" w:hAnsi="Calibri" w:cs="Calibri"/>
        </w:rPr>
        <w:t>(Bengtsson et al., 2017)</w:t>
      </w:r>
      <w:r>
        <w:fldChar w:fldCharType="end"/>
      </w:r>
      <w:r>
        <w:t>, AROME-</w:t>
      </w:r>
      <w:proofErr w:type="spellStart"/>
      <w:r>
        <w:t>Arctic</w:t>
      </w:r>
      <w:proofErr w:type="spellEnd"/>
      <w:r>
        <w:t xml:space="preserve"> partage le même noyau dynamique non hydrostatique qu’AROME-France, tel que décrit par </w:t>
      </w:r>
      <w:r>
        <w:fldChar w:fldCharType="begin"/>
      </w:r>
      <w:r>
        <w:instrText xml:space="preserve"> ADDIN ZOTERO_ITEM CSL_CITATION {"citationID":"OLUGtUlX","properties":{"formattedCitation":"(Seity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fldChar w:fldCharType="separate"/>
      </w:r>
      <w:r w:rsidRPr="003D26B9">
        <w:rPr>
          <w:rFonts w:ascii="Calibri" w:hAnsi="Calibri" w:cs="Calibri"/>
        </w:rPr>
        <w:t>(Seity et al., 2011)</w:t>
      </w:r>
      <w:r>
        <w:fldChar w:fldCharType="end"/>
      </w:r>
      <w:r>
        <w:t>.</w:t>
      </w:r>
    </w:p>
    <w:p w14:paraId="7A9D8BB6" w14:textId="77777777" w:rsidR="00F32921" w:rsidRDefault="00F32921" w:rsidP="00F32921">
      <w:pPr>
        <w:jc w:val="both"/>
      </w:pPr>
      <w:r>
        <w:t xml:space="preserve">De manière similaire à la configuration nordique </w:t>
      </w:r>
      <w:proofErr w:type="spellStart"/>
      <w:r>
        <w:t>MetCoOp</w:t>
      </w:r>
      <w:proofErr w:type="spellEnd"/>
      <w:r>
        <w:t>, AROME-</w:t>
      </w:r>
      <w:proofErr w:type="spellStart"/>
      <w:r>
        <w:t>Arctic</w:t>
      </w:r>
      <w:proofErr w:type="spellEnd"/>
      <w:r>
        <w:t xml:space="preserve"> a été opérationnel depuis juin 2017. Le système génère des prévisions déterministes toutes les 3 heures, avec une portée temporelle de 66 heures.</w:t>
      </w:r>
    </w:p>
    <w:p w14:paraId="0905CAF1" w14:textId="77777777" w:rsidR="00F32921" w:rsidRDefault="00F32921" w:rsidP="00F32921">
      <w:pPr>
        <w:jc w:val="both"/>
      </w:pPr>
      <w:r>
        <w:t>La phase d'assimilation des données dans AROME-</w:t>
      </w:r>
      <w:proofErr w:type="spellStart"/>
      <w:r>
        <w:t>Arctic</w:t>
      </w:r>
      <w:proofErr w:type="spellEnd"/>
      <w:r>
        <w:t xml:space="preserve"> repose sur une technique </w:t>
      </w:r>
      <w:proofErr w:type="spellStart"/>
      <w:r>
        <w:t>variationnelle</w:t>
      </w:r>
      <w:proofErr w:type="spellEnd"/>
      <w:r>
        <w:t xml:space="preserve"> tridimensionnelle. Elle assimile des données conventionnelles, des vents de surface océanique issus du </w:t>
      </w:r>
      <w:proofErr w:type="spellStart"/>
      <w:r>
        <w:t>scatteromètre</w:t>
      </w:r>
      <w:proofErr w:type="spellEnd"/>
      <w:r>
        <w:t xml:space="preserve"> </w:t>
      </w:r>
      <w:r>
        <w:fldChar w:fldCharType="begin"/>
      </w:r>
      <w:r>
        <w:instrText xml:space="preserve"> ADDIN ZOTERO_ITEM CSL_CITATION {"citationID":"u2Z1505w","properties":{"formattedCitation":"(Valkonen et al., 2017)","plainCitation":"(Valkonen et al., 2017)","noteIndex":0},"citationItems":[{"id":88,"uris":["http://zotero.org/users/local/n6fh7qN8/items/VQ3L76J7"],"itemData":{"id":88,"type":"article-journal","container-title":"IEEE Journal of Selected Topics in Applied Earth Observations and Remote Sensing","issue":"5","note":"publisher: IEEE","page":"2394–2405","source":"Google Scholar","title":"Assimilating advanced scatterometer winds in a high-resolution limited area model over northern Europe","volume":"10","author":[{"family":"Valkonen","given":"Teresa"},{"family":"Schyberg","given":"Harald"},{"family":"Figa-Saldaña","given":"Julia"}],"issued":{"date-parts":[["2017"]]}}}],"schema":"https://github.com/citation-style-language/schema/raw/master/csl-citation.json"} </w:instrText>
      </w:r>
      <w:r>
        <w:fldChar w:fldCharType="separate"/>
      </w:r>
      <w:r w:rsidRPr="003D26B9">
        <w:rPr>
          <w:rFonts w:ascii="Calibri" w:hAnsi="Calibri" w:cs="Calibri"/>
        </w:rPr>
        <w:t>(</w:t>
      </w:r>
      <w:proofErr w:type="spellStart"/>
      <w:r w:rsidRPr="003D26B9">
        <w:rPr>
          <w:rFonts w:ascii="Calibri" w:hAnsi="Calibri" w:cs="Calibri"/>
        </w:rPr>
        <w:t>Valkonen</w:t>
      </w:r>
      <w:proofErr w:type="spellEnd"/>
      <w:r w:rsidRPr="003D26B9">
        <w:rPr>
          <w:rFonts w:ascii="Calibri" w:hAnsi="Calibri" w:cs="Calibri"/>
        </w:rPr>
        <w:t xml:space="preserve"> et al., 2017)</w:t>
      </w:r>
      <w:r>
        <w:fldChar w:fldCharType="end"/>
      </w:r>
      <w:r>
        <w:t xml:space="preserve">, des radiations satellitaires </w:t>
      </w:r>
      <w:r>
        <w:fldChar w:fldCharType="begin"/>
      </w:r>
      <w:r>
        <w:instrText xml:space="preserve"> ADDIN ZOTERO_ITEM CSL_CITATION {"citationID":"mRqH4waa","properties":{"formattedCitation":"(Randriamampianina et al., 2019)","plainCitation":"(Randriamampianina et al., 2019)","noteIndex":0},"citationItems":[{"id":90,"uris":["http://zotero.org/users/local/n6fh7qN8/items/RJMKQ585"],"itemData":{"id":90,"type":"article-journal","container-title":"Remote Sensing","issue":"8","note":"publisher: MDPI","page":"981","source":"Google Scholar","title":"Observing system experiments with an Arctic mesoscale numerical weather prediction model","volume":"11","author":[{"family":"Randriamampianina","given":"Roger"},{"family":"Schyberg","given":"Harald"},{"family":"Mile","given":"Máté"}],"issued":{"date-parts":[["2019"]]}}}],"schema":"https://github.com/citation-style-language/schema/raw/master/csl-citation.json"} </w:instrText>
      </w:r>
      <w:r>
        <w:fldChar w:fldCharType="separate"/>
      </w:r>
      <w:r w:rsidRPr="003D26B9">
        <w:rPr>
          <w:rFonts w:ascii="Calibri" w:hAnsi="Calibri" w:cs="Calibri"/>
        </w:rPr>
        <w:t>(Randriamampianina et al., 2019)</w:t>
      </w:r>
      <w:r>
        <w:fldChar w:fldCharType="end"/>
      </w:r>
      <w:r>
        <w:t xml:space="preserve"> et des vecteurs de mouvement atmosphérique </w:t>
      </w:r>
      <w:r>
        <w:fldChar w:fldCharType="begin"/>
      </w:r>
      <w:r>
        <w:instrText xml:space="preserve"> ADDIN ZOTERO_ITEM CSL_CITATION {"citationID":"KsERl2lh","properties":{"formattedCitation":"(Randriamampianina et al., 2017)","plainCitation":"(Randriamampianina et al., 2017)","noteIndex":0},"citationItems":[{"id":93,"uris":["http://zotero.org/users/local/n6fh7qN8/items/LCMD8JSQ"],"itemData":{"id":93,"type":"article-journal","container-title":"METNO Report","page":"2017","source":"Google Scholar","title":"Impact of atmospheric motion vectors (AMV) on rapid update cycling (RUC) and rapid-refresh (RR) systems","volume":"4","author":[{"family":"Randriamampianina","given":"Roger"},{"family":"Aspenes","given":"Trygve"},{"family":"Mile","given":"Máté"},{"family":"Schyberg","given":"Harald"}],"issued":{"date-parts":[["2017"]]}}}],"schema":"https://github.com/citation-style-language/schema/raw/master/csl-citation.json"} </w:instrText>
      </w:r>
      <w:r>
        <w:fldChar w:fldCharType="separate"/>
      </w:r>
      <w:r w:rsidRPr="003D26B9">
        <w:rPr>
          <w:rFonts w:ascii="Calibri" w:hAnsi="Calibri" w:cs="Calibri"/>
        </w:rPr>
        <w:t>(Randriamampianina et al., 2017)</w:t>
      </w:r>
      <w:r>
        <w:fldChar w:fldCharType="end"/>
      </w:r>
      <w:r>
        <w:t>. De plus, le système opérationnel intègre un mécanisme de "mélange à grande échelle", fusionnant les échelles spatiales larges avec les prévisions du modèle haute résolution (HRES) d'ECMWF pour obtenir le champ de fond. L'assimilation des variables de surface (température à 2 m, humidité à 2 m et profondeur de neige) dans AROME-</w:t>
      </w:r>
      <w:proofErr w:type="spellStart"/>
      <w:r>
        <w:t>Arctic</w:t>
      </w:r>
      <w:proofErr w:type="spellEnd"/>
      <w:r>
        <w:t xml:space="preserve"> repose sur une interpolation optimale </w:t>
      </w:r>
      <w:r>
        <w:fldChar w:fldCharType="begin"/>
      </w:r>
      <w:r>
        <w:instrText xml:space="preserve"> ADDIN ZOTERO_ITEM CSL_CITATION {"citationID":"FNknenbs","properties":{"formattedCitation":"(Giard &amp; Bazile, 2000)","plainCitation":"(Giard &amp; Bazile, 2000)","noteIndex":0},"citationItems":[{"id":95,"uris":["http://zotero.org/users/local/n6fh7qN8/items/S66RPU74"],"itemData":{"id":95,"type":"article-journal","container-title":"Monthly weather review","issue":"4","note":"publisher: American Meteorological Society","page":"997–1015","source":"Google Scholar","title":"Implementation of a new assimilation scheme for soil and surface variables in a global NWP model","volume":"128","author":[{"family":"Giard","given":"D."},{"family":"Bazile","given":"E."}],"issued":{"date-parts":[["2000"]]}}}],"schema":"https://github.com/citation-style-language/schema/raw/master/csl-citation.json"} </w:instrText>
      </w:r>
      <w:r>
        <w:fldChar w:fldCharType="separate"/>
      </w:r>
      <w:r w:rsidRPr="007144C4">
        <w:rPr>
          <w:rFonts w:ascii="Calibri" w:hAnsi="Calibri" w:cs="Calibri"/>
        </w:rPr>
        <w:t>(Giard &amp; Bazile, 2000)</w:t>
      </w:r>
      <w:r>
        <w:fldChar w:fldCharType="end"/>
      </w:r>
      <w:r>
        <w:t>.</w:t>
      </w:r>
    </w:p>
    <w:p w14:paraId="3E4742E9" w14:textId="77777777" w:rsidR="00F32921" w:rsidRDefault="00F32921" w:rsidP="00F32921">
      <w:pPr>
        <w:jc w:val="both"/>
      </w:pPr>
      <w:r>
        <w:t xml:space="preserve">Les conditions aux limites latérales sont fournies par les prévisions HRES d'ECMWF, avec un intervalle d'une heure. La concentration de la glace de mer et la température de surface de la mer sont également obtenues à partir d'ECMWF. Une modélisation en 1D est utilisée pour décrire la température de surface sur la glace de mer </w:t>
      </w:r>
      <w:r>
        <w:fldChar w:fldCharType="begin"/>
      </w:r>
      <w:r>
        <w:instrText xml:space="preserve"> ADDIN ZOTERO_ITEM CSL_CITATION {"citationID":"oBTy4zMG","properties":{"formattedCitation":"(Batrak et al., 2018)","plainCitation":"(Batrak et al., 2018)","noteIndex":0},"citationItems":[{"id":97,"uris":["http://zotero.org/users/local/n6fh7qN8/items/GCNX97SU"],"itemData":{"id":97,"type":"article-journal","container-title":"Geoscientific Model Development","issue":"8","note":"publisher: Copernicus Publications Göttingen, Germany","page":"3347–3368","source":"Google Scholar","title":"Implementation of a simple thermodynamic sea ice scheme, SICE version 1.0-38h1, within the ALADIN–HIRLAM numerical weather prediction system version 38h1","volume":"11","author":[{"family":"Batrak","given":"Yurii"},{"family":"Kourzeneva","given":"Ekaterina"},{"family":"Homleid","given":"Mariken"}],"issued":{"date-parts":[["2018"]]}}}],"schema":"https://github.com/citation-style-language/schema/raw/master/csl-citation.json"} </w:instrText>
      </w:r>
      <w:r>
        <w:fldChar w:fldCharType="separate"/>
      </w:r>
      <w:r w:rsidRPr="007144C4">
        <w:rPr>
          <w:rFonts w:ascii="Calibri" w:hAnsi="Calibri" w:cs="Calibri"/>
        </w:rPr>
        <w:t>(Batrak et al., 2018)</w:t>
      </w:r>
      <w:r>
        <w:fldChar w:fldCharType="end"/>
      </w:r>
      <w:r>
        <w:t>.</w:t>
      </w:r>
    </w:p>
    <w:p w14:paraId="7495119E" w14:textId="471C0AEC" w:rsidR="00FC7555" w:rsidRDefault="006916B9" w:rsidP="00FC7555">
      <w:r>
        <w:rPr>
          <w:noProof/>
          <w:lang w:val="en-US"/>
        </w:rPr>
        <w:drawing>
          <wp:anchor distT="0" distB="0" distL="114300" distR="114300" simplePos="0" relativeHeight="251705344" behindDoc="0" locked="0" layoutInCell="1" allowOverlap="1" wp14:anchorId="6CB9042B" wp14:editId="19DBCE7D">
            <wp:simplePos x="0" y="0"/>
            <wp:positionH relativeFrom="margin">
              <wp:align>right</wp:align>
            </wp:positionH>
            <wp:positionV relativeFrom="paragraph">
              <wp:posOffset>867865</wp:posOffset>
            </wp:positionV>
            <wp:extent cx="5760720" cy="381000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anchor>
        </w:drawing>
      </w:r>
      <w:r>
        <w:rPr>
          <w:noProof/>
          <w:lang w:val="en-US"/>
        </w:rPr>
        <mc:AlternateContent>
          <mc:Choice Requires="wps">
            <w:drawing>
              <wp:anchor distT="0" distB="0" distL="114300" distR="114300" simplePos="0" relativeHeight="251710464" behindDoc="0" locked="0" layoutInCell="1" allowOverlap="1" wp14:anchorId="168CC349" wp14:editId="5CFC7192">
                <wp:simplePos x="0" y="0"/>
                <wp:positionH relativeFrom="margin">
                  <wp:align>right</wp:align>
                </wp:positionH>
                <wp:positionV relativeFrom="paragraph">
                  <wp:posOffset>4712658</wp:posOffset>
                </wp:positionV>
                <wp:extent cx="5760720" cy="449580"/>
                <wp:effectExtent l="0" t="0" r="0" b="7620"/>
                <wp:wrapTopAndBottom/>
                <wp:docPr id="25" name="Zone de texte 25"/>
                <wp:cNvGraphicFramePr/>
                <a:graphic xmlns:a="http://schemas.openxmlformats.org/drawingml/2006/main">
                  <a:graphicData uri="http://schemas.microsoft.com/office/word/2010/wordprocessingShape">
                    <wps:wsp>
                      <wps:cNvSpPr txBox="1"/>
                      <wps:spPr>
                        <a:xfrm>
                          <a:off x="0" y="0"/>
                          <a:ext cx="5760720" cy="449580"/>
                        </a:xfrm>
                        <a:prstGeom prst="rect">
                          <a:avLst/>
                        </a:prstGeom>
                        <a:solidFill>
                          <a:prstClr val="white"/>
                        </a:solidFill>
                        <a:ln>
                          <a:noFill/>
                        </a:ln>
                      </wps:spPr>
                      <wps:txbx>
                        <w:txbxContent>
                          <w:p w14:paraId="019DCF5B" w14:textId="62E9EEB1" w:rsidR="00FC7555" w:rsidRPr="000B465B" w:rsidRDefault="00FC7555" w:rsidP="005F3AB0">
                            <w:pPr>
                              <w:pStyle w:val="Lgende"/>
                              <w:jc w:val="center"/>
                              <w:rPr>
                                <w:noProof/>
                              </w:rPr>
                            </w:pPr>
                            <w:r>
                              <w:t xml:space="preserve">Figure 1.13 - </w:t>
                            </w:r>
                            <w:r w:rsidRPr="000B465B">
                              <w:rPr>
                                <w:noProof/>
                              </w:rPr>
                              <w:t xml:space="preserve"> </w:t>
                            </w:r>
                            <w:r w:rsidR="006916B9">
                              <w:rPr>
                                <w:noProof/>
                              </w:rPr>
                              <w:t xml:space="preserve">Température de surface représentée autour de la staion Svalsat à partir des données ERA5 (a) AROME-ARCTIC (b) et CARRA (c) pour la journée du 21/20/2017 à 12h. L’évolution de la tempérautre durant la journée </w:t>
                            </w:r>
                            <w:r w:rsidR="006916B9">
                              <w:rPr>
                                <w:noProof/>
                              </w:rPr>
                              <w:t xml:space="preserve">dans le pixel où se trouve </w:t>
                            </w:r>
                            <w:r w:rsidR="006916B9">
                              <w:rPr>
                                <w:noProof/>
                              </w:rPr>
                              <w:t xml:space="preserve"> la station est représentée dans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8CC349" id="_x0000_t202" coordsize="21600,21600" o:spt="202" path="m,l,21600r21600,l21600,xe">
                <v:stroke joinstyle="miter"/>
                <v:path gradientshapeok="t" o:connecttype="rect"/>
              </v:shapetype>
              <v:shape id="Zone de texte 25" o:spid="_x0000_s1038" type="#_x0000_t202" style="position:absolute;margin-left:402.4pt;margin-top:371.1pt;width:453.6pt;height:35.4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" stroked="f">
                <v:textbox inset="0,0,0,0">
                  <w:txbxContent>
                    <w:p w14:paraId="019DCF5B" w14:textId="62E9EEB1" w:rsidR="00FC7555" w:rsidRPr="000B465B" w:rsidRDefault="00FC7555" w:rsidP="005F3AB0">
                      <w:pPr>
                        <w:pStyle w:val="Lgende"/>
                        <w:jc w:val="center"/>
                        <w:rPr>
                          <w:noProof/>
                        </w:rPr>
                      </w:pPr>
                      <w:r>
                        <w:t xml:space="preserve">Figure 1.13 - </w:t>
                      </w:r>
                      <w:r w:rsidRPr="000B465B">
                        <w:rPr>
                          <w:noProof/>
                        </w:rPr>
                        <w:t xml:space="preserve"> </w:t>
                      </w:r>
                      <w:r w:rsidR="006916B9">
                        <w:rPr>
                          <w:noProof/>
                        </w:rPr>
                        <w:t xml:space="preserve">Température de surface représentée autour de la staion Svalsat à partir des données ERA5 (a) AROME-ARCTIC (b) et CARRA (c) pour la journée du 21/20/2017 à 12h. L’évolution de la tempérautre durant la journée </w:t>
                      </w:r>
                      <w:r w:rsidR="006916B9">
                        <w:rPr>
                          <w:noProof/>
                        </w:rPr>
                        <w:t xml:space="preserve">dans le pixel où se trouve </w:t>
                      </w:r>
                      <w:r w:rsidR="006916B9">
                        <w:rPr>
                          <w:noProof/>
                        </w:rPr>
                        <w:t xml:space="preserve"> la station est représentée dans (d)</w:t>
                      </w:r>
                    </w:p>
                  </w:txbxContent>
                </v:textbox>
                <w10:wrap type="topAndBottom" anchorx="margin"/>
              </v:shape>
            </w:pict>
          </mc:Fallback>
        </mc:AlternateContent>
      </w:r>
      <w:r w:rsidR="00F32921">
        <w:t xml:space="preserve">L'équipe de prévisions et de recherche sur l'Arctique chez MET </w:t>
      </w:r>
      <w:proofErr w:type="spellStart"/>
      <w:r w:rsidR="00F32921">
        <w:t>Norway</w:t>
      </w:r>
      <w:proofErr w:type="spellEnd"/>
      <w:r w:rsidR="00F32921">
        <w:t xml:space="preserve"> se concentre sur l'utilisation et l'amélioration du système AROME-</w:t>
      </w:r>
      <w:proofErr w:type="spellStart"/>
      <w:r w:rsidR="00F32921">
        <w:t>Arctic</w:t>
      </w:r>
      <w:proofErr w:type="spellEnd"/>
      <w:r w:rsidR="00F32921">
        <w:t xml:space="preserve">. Au-delà des activités principales à MET </w:t>
      </w:r>
      <w:proofErr w:type="spellStart"/>
      <w:r w:rsidR="00F32921">
        <w:t>Norway</w:t>
      </w:r>
      <w:proofErr w:type="spellEnd"/>
      <w:r w:rsidR="00F32921">
        <w:t>, AROME-</w:t>
      </w:r>
      <w:proofErr w:type="spellStart"/>
      <w:r w:rsidR="00F32921">
        <w:t>Arctic</w:t>
      </w:r>
      <w:proofErr w:type="spellEnd"/>
      <w:r w:rsidR="00F32921">
        <w:t xml:space="preserve"> est impliqué dans divers projets de recherche, notamment APPLICATE, CARRA, Nansen LEGACY et </w:t>
      </w:r>
      <w:proofErr w:type="spellStart"/>
      <w:r w:rsidR="00F32921">
        <w:t>Alertness</w:t>
      </w:r>
      <w:proofErr w:type="spellEnd"/>
      <w:r w:rsidR="00F32921">
        <w:t>.</w:t>
      </w:r>
      <w:bookmarkStart w:id="0" w:name="_GoBack"/>
      <w:bookmarkEnd w:id="0"/>
    </w:p>
    <w:p w14:paraId="18014331" w14:textId="37B38967" w:rsidR="00FC7555" w:rsidRDefault="00FC7555" w:rsidP="00FC7555">
      <w:pPr>
        <w:jc w:val="both"/>
      </w:pPr>
      <w:r>
        <w:lastRenderedPageBreak/>
        <w:t>La Figure 1.13 présente un ap</w:t>
      </w:r>
      <w:r w:rsidR="00D12BB6">
        <w:t xml:space="preserve">erçu des données de température [K] </w:t>
      </w:r>
      <w:r>
        <w:t>pour chacune des bases de données de référence mentionnées précédemment. Les graphiques (a), (b) et (c) illustrent respectivement les températures surfaciques à 2 mètres du sol autour de la station SvalSat</w:t>
      </w:r>
      <w:r w:rsidR="00D12BB6">
        <w:t xml:space="preserve"> (voir 4.2)</w:t>
      </w:r>
      <w:r>
        <w:t>, à 12h00 le 21 février 2017, pour les bases de données ERA5, AROME-</w:t>
      </w:r>
      <w:r w:rsidR="00D12BB6">
        <w:t>ARCTIC</w:t>
      </w:r>
      <w:r>
        <w:t xml:space="preserve"> et CARRA. Cette représentation met en évidence </w:t>
      </w:r>
      <w:r w:rsidR="00D12BB6">
        <w:t>la</w:t>
      </w:r>
      <w:r>
        <w:t xml:space="preserve"> différence significative de résolution surfacique entre les données d'ERA5 et celles des deux autres bases.</w:t>
      </w:r>
    </w:p>
    <w:p w14:paraId="56A7A882" w14:textId="06C1F269" w:rsidR="00FC7555" w:rsidRDefault="00B833E5" w:rsidP="00FC7555">
      <w:pPr>
        <w:jc w:val="both"/>
      </w:pPr>
      <w:r>
        <w:rPr>
          <w:noProof/>
          <w:lang w:val="en-US"/>
        </w:rPr>
        <w:drawing>
          <wp:anchor distT="0" distB="0" distL="114300" distR="114300" simplePos="0" relativeHeight="251709440" behindDoc="0" locked="0" layoutInCell="1" allowOverlap="1" wp14:anchorId="0B9EB6BE" wp14:editId="06F7F14A">
            <wp:simplePos x="0" y="0"/>
            <wp:positionH relativeFrom="margin">
              <wp:align>left</wp:align>
            </wp:positionH>
            <wp:positionV relativeFrom="paragraph">
              <wp:posOffset>2127555</wp:posOffset>
            </wp:positionV>
            <wp:extent cx="5760720" cy="4011295"/>
            <wp:effectExtent l="0" t="0" r="0"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011295"/>
                    </a:xfrm>
                    <a:prstGeom prst="rect">
                      <a:avLst/>
                    </a:prstGeom>
                  </pic:spPr>
                </pic:pic>
              </a:graphicData>
            </a:graphic>
          </wp:anchor>
        </w:drawing>
      </w:r>
      <w:r w:rsidR="00D12BB6">
        <w:rPr>
          <w:noProof/>
          <w:lang w:val="en-US"/>
        </w:rPr>
        <mc:AlternateContent>
          <mc:Choice Requires="wps">
            <w:drawing>
              <wp:anchor distT="0" distB="0" distL="114300" distR="114300" simplePos="0" relativeHeight="251708416" behindDoc="0" locked="0" layoutInCell="1" allowOverlap="1" wp14:anchorId="5E272092" wp14:editId="6D11D230">
                <wp:simplePos x="0" y="0"/>
                <wp:positionH relativeFrom="margin">
                  <wp:align>right</wp:align>
                </wp:positionH>
                <wp:positionV relativeFrom="paragraph">
                  <wp:posOffset>6227471</wp:posOffset>
                </wp:positionV>
                <wp:extent cx="576072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B20DAA" w14:textId="386EC3C7" w:rsidR="00FC7555" w:rsidRPr="00920EA8" w:rsidRDefault="00FC7555" w:rsidP="00A364B3">
                            <w:pPr>
                              <w:pStyle w:val="Lgende"/>
                              <w:jc w:val="center"/>
                              <w:rPr>
                                <w:noProof/>
                              </w:rPr>
                            </w:pPr>
                            <w:r>
                              <w:t xml:space="preserve">Figure 1.14 -  </w:t>
                            </w:r>
                            <w:r w:rsidR="006916B9">
                              <w:rPr>
                                <w:noProof/>
                              </w:rPr>
                              <w:t>Cumuls de précipitation</w:t>
                            </w:r>
                            <w:r w:rsidR="006916B9">
                              <w:rPr>
                                <w:noProof/>
                              </w:rPr>
                              <w:t xml:space="preserve"> représentée autour de la staion Svalsat à partir des données ERA5 (a) AROME-ARCTIC (b) et CARRA (c) pour la journée du 21/20/2017 à 12h. L’</w:t>
                            </w:r>
                            <w:r w:rsidR="006916B9">
                              <w:rPr>
                                <w:noProof/>
                              </w:rPr>
                              <w:t xml:space="preserve">évolution du cumul </w:t>
                            </w:r>
                            <w:r w:rsidR="006916B9">
                              <w:rPr>
                                <w:noProof/>
                              </w:rPr>
                              <w:t xml:space="preserve">durant la journée </w:t>
                            </w:r>
                            <w:r w:rsidR="006916B9">
                              <w:rPr>
                                <w:noProof/>
                              </w:rPr>
                              <w:t>dans le pixel où se trouve</w:t>
                            </w:r>
                            <w:r w:rsidR="006916B9">
                              <w:rPr>
                                <w:noProof/>
                              </w:rPr>
                              <w:t xml:space="preserve"> la station est représentée dans (d)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72092" id="Zone de texte 27" o:spid="_x0000_s1039" type="#_x0000_t202" style="position:absolute;left:0;text-align:left;margin-left:402.4pt;margin-top:490.35pt;width:453.6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NBNQIAAGwEAAAOAAAAZHJzL2Uyb0RvYy54bWysVMFu2zAMvQ/YPwi6L05SNBm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" stroked="f">
                <v:textbox style="mso-fit-shape-to-text:t" inset="0,0,0,0">
                  <w:txbxContent>
                    <w:p w14:paraId="75B20DAA" w14:textId="386EC3C7" w:rsidR="00FC7555" w:rsidRPr="00920EA8" w:rsidRDefault="00FC7555" w:rsidP="00A364B3">
                      <w:pPr>
                        <w:pStyle w:val="Lgende"/>
                        <w:jc w:val="center"/>
                        <w:rPr>
                          <w:noProof/>
                        </w:rPr>
                      </w:pPr>
                      <w:r>
                        <w:t xml:space="preserve">Figure 1.14 -  </w:t>
                      </w:r>
                      <w:r w:rsidR="006916B9">
                        <w:rPr>
                          <w:noProof/>
                        </w:rPr>
                        <w:t>Cumuls de précipitation</w:t>
                      </w:r>
                      <w:r w:rsidR="006916B9">
                        <w:rPr>
                          <w:noProof/>
                        </w:rPr>
                        <w:t xml:space="preserve"> représentée autour de la staion Svalsat à partir des données ERA5 (a) AROME-ARCTIC (b) et CARRA (c) pour la journée du 21/20/2017 à 12h. L’</w:t>
                      </w:r>
                      <w:r w:rsidR="006916B9">
                        <w:rPr>
                          <w:noProof/>
                        </w:rPr>
                        <w:t xml:space="preserve">évolution du cumul </w:t>
                      </w:r>
                      <w:r w:rsidR="006916B9">
                        <w:rPr>
                          <w:noProof/>
                        </w:rPr>
                        <w:t xml:space="preserve">durant la journée </w:t>
                      </w:r>
                      <w:r w:rsidR="006916B9">
                        <w:rPr>
                          <w:noProof/>
                        </w:rPr>
                        <w:t>dans le pixel où se trouve</w:t>
                      </w:r>
                      <w:r w:rsidR="006916B9">
                        <w:rPr>
                          <w:noProof/>
                        </w:rPr>
                        <w:t xml:space="preserve"> la station est représentée dans (d)</w:t>
                      </w:r>
                    </w:p>
                  </w:txbxContent>
                </v:textbox>
                <w10:wrap type="topAndBottom" anchorx="margin"/>
              </v:shape>
            </w:pict>
          </mc:Fallback>
        </mc:AlternateContent>
      </w:r>
      <w:r w:rsidR="00FC7555">
        <w:t>Le graphique (d) quant à lui présente l'évolution de la température au cours de la même journée</w:t>
      </w:r>
      <w:r w:rsidR="00D12BB6">
        <w:t xml:space="preserve"> dans le pixel contenant la station SvalSat (croix rouge sur les graphiques (a), (b) et (c))</w:t>
      </w:r>
      <w:r w:rsidR="00FC7555">
        <w:t xml:space="preserve">. Cette visualisation met en lumière la disparité de résolution temporelle entre les données de CARRA et celles des deux autres bases de données. Bien que les tendances générales des courbes soient similaires, des écarts de 2°C sont observés pour les </w:t>
      </w:r>
      <w:r w:rsidR="00D12BB6">
        <w:t>disparités</w:t>
      </w:r>
      <w:r w:rsidR="00FC7555">
        <w:t xml:space="preserve"> les plus importantes</w:t>
      </w:r>
      <w:r w:rsidR="00D12BB6">
        <w:t xml:space="preserve"> des modèles</w:t>
      </w:r>
      <w:r w:rsidR="00FC7555">
        <w:t>. Ces différences peuvent s'expliquer par l'utilisation de modèles de terrain différents dans les données, entraînant une interpolation des données à 2 mètres, mais à des altit</w:t>
      </w:r>
      <w:r w:rsidR="00D12BB6">
        <w:t xml:space="preserve">udes différentes dans l'absolu. </w:t>
      </w:r>
      <w:r w:rsidR="00FC7555">
        <w:t xml:space="preserve">Pour résoudre ce problème, une approche possible serait de comparer ces données avec les données 4D </w:t>
      </w:r>
      <w:r w:rsidR="00D12BB6">
        <w:t>des modèles interpolés</w:t>
      </w:r>
      <w:r w:rsidR="00FC7555">
        <w:t xml:space="preserve"> manuellement à l'altitude souhaitée. Cette méthode permettrait de mieux comprendre et corriger les divergences observées, assurant ainsi des analyses plus précises et fiables dans les études à venir.</w:t>
      </w:r>
    </w:p>
    <w:p w14:paraId="1553212D" w14:textId="5EE80984" w:rsidR="00B833E5" w:rsidRDefault="00B833E5" w:rsidP="00B833E5">
      <w:pPr>
        <w:jc w:val="both"/>
      </w:pPr>
      <w:r>
        <w:t xml:space="preserve">La Figure 1.14 présente cette fois-ci l'accumulation de précipitations [mm] pour la même journée que précédemment. Les graphiques (a), (b) et (c) illustrent respectivement les cumuls autour de la station pour les données ERA5, AROME-ARCTIC et CARRA. Ces trois graphiques mettent en lumière un problème lié à la disparité des résolutions spatiales des données. Contrairement aux données telles </w:t>
      </w:r>
      <w:r>
        <w:lastRenderedPageBreak/>
        <w:t>que la température ou la pression, dont la dérivée spatiale est faible, les données d'accumulation de précipitations sont très sensibles à la résolution spatiale.</w:t>
      </w:r>
    </w:p>
    <w:p w14:paraId="312C68FB" w14:textId="2F03D07E" w:rsidR="00B833E5" w:rsidRDefault="00B833E5" w:rsidP="00B833E5">
      <w:pPr>
        <w:jc w:val="both"/>
      </w:pPr>
    </w:p>
    <w:p w14:paraId="3D48CDE8" w14:textId="72DA09BD" w:rsidR="00B833E5" w:rsidRDefault="00B833E5" w:rsidP="00B833E5">
      <w:pPr>
        <w:jc w:val="both"/>
      </w:pPr>
      <w:r>
        <w:t>Le graphique (d) représente l'évolution du cumul de précipitations au cours de la même journée du 21 février 2017. Pour assurer une comparaison équitable des données, les valeurs des bases de données plus finement résolues (CARRA et AROME-ARCTIC) ont été moyennées à partir de l'ensemble des données comprises dans le pixel où se trouve la station SvalSat, dans les données moins bien résolues spatialement (ERA5), représenté dans le cadre rouge sur les graphiques (a), (b) et (c). Cette technique sera largement utilisée pour la comparaison des données impactées par la résolution spatiale plus tard dans ce travail. On observe sur ce graphique une tendance similaire des données à détecter un événement de précipitation dans la première partie de la journée, suivi d'une période calme en fin de journée. Malgré des ordres de grandeur similaires, la différence d'accumulation entre chaque base de données met en évidence les difficultés, même pour des bases de données météorologiques reconnues, à fournir des détails précis sur les accumulations de précipitations. Ces différences soulignent les défis persistants dans la modélisation des précipitations.</w:t>
      </w:r>
    </w:p>
    <w:p w14:paraId="2D100F54" w14:textId="77777777" w:rsidR="00B833E5" w:rsidRDefault="00B833E5" w:rsidP="00B833E5">
      <w:pPr>
        <w:jc w:val="both"/>
      </w:pPr>
    </w:p>
    <w:p w14:paraId="69D17C26" w14:textId="392EB8EF" w:rsidR="00B833E5" w:rsidRDefault="00B833E5" w:rsidP="00B833E5">
      <w:pPr>
        <w:jc w:val="both"/>
      </w:pPr>
      <w:r w:rsidRPr="00901BC6">
        <w:t>Cette section a examiné les bases de données de réanalyse mondiales disponibles pour les études de propagation, en mettant l'accent sur la base de données ERA5 et ses deux ensembles de données largement utilisés dans cette thèse</w:t>
      </w:r>
      <w:r>
        <w:t>, et les bases de réanalyse Arome-</w:t>
      </w:r>
      <w:proofErr w:type="spellStart"/>
      <w:r>
        <w:t>Arctic</w:t>
      </w:r>
      <w:proofErr w:type="spellEnd"/>
      <w:r>
        <w:t xml:space="preserve"> et CARRA dont un résumé des caractéristiques sont présenté dans le t</w:t>
      </w:r>
      <w:r w:rsidR="0097424E">
        <w:t>ableau 1.2</w:t>
      </w:r>
      <w:r w:rsidRPr="00901BC6">
        <w:t xml:space="preserve">. </w:t>
      </w:r>
      <w:r>
        <w:tab/>
        <w:t xml:space="preserve">Il est aussi mis en avant à travers d’exemples l’importance de la réflexion autour des résolutions temporelles et spatiales afin de bien comprendre ce que représente les données météorologiques, et de pouvoir dans la suite de ces travaux, comparer des données </w:t>
      </w:r>
      <w:r w:rsidR="0097424E">
        <w:t>équitables.</w:t>
      </w:r>
    </w:p>
    <w:p w14:paraId="2494A608" w14:textId="77777777" w:rsidR="00B833E5" w:rsidRDefault="00B833E5" w:rsidP="00B833E5">
      <w:pPr>
        <w:jc w:val="both"/>
      </w:pPr>
    </w:p>
    <w:tbl>
      <w:tblPr>
        <w:tblStyle w:val="Tableausimple2"/>
        <w:tblW w:w="0" w:type="auto"/>
        <w:tblLook w:val="04A0" w:firstRow="1" w:lastRow="0" w:firstColumn="1" w:lastColumn="0" w:noHBand="0" w:noVBand="1"/>
      </w:tblPr>
      <w:tblGrid>
        <w:gridCol w:w="922"/>
        <w:gridCol w:w="2053"/>
        <w:gridCol w:w="1987"/>
        <w:gridCol w:w="2418"/>
        <w:gridCol w:w="1682"/>
      </w:tblGrid>
      <w:tr w:rsidR="00B833E5" w14:paraId="46D1F16B" w14:textId="77777777" w:rsidTr="0097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14:paraId="75B24DC8" w14:textId="77777777" w:rsidR="00B833E5" w:rsidRDefault="00B833E5" w:rsidP="0097424E">
            <w:pPr>
              <w:jc w:val="center"/>
            </w:pPr>
            <w:r>
              <w:t>Model</w:t>
            </w:r>
          </w:p>
        </w:tc>
        <w:tc>
          <w:tcPr>
            <w:tcW w:w="2053" w:type="dxa"/>
            <w:vAlign w:val="center"/>
          </w:tcPr>
          <w:p w14:paraId="545ED96E" w14:textId="77777777" w:rsidR="00B833E5" w:rsidRDefault="00B833E5" w:rsidP="0097424E">
            <w:pPr>
              <w:jc w:val="center"/>
              <w:cnfStyle w:val="100000000000" w:firstRow="1" w:lastRow="0" w:firstColumn="0" w:lastColumn="0" w:oddVBand="0" w:evenVBand="0" w:oddHBand="0" w:evenHBand="0" w:firstRowFirstColumn="0" w:firstRowLastColumn="0" w:lastRowFirstColumn="0" w:lastRowLastColumn="0"/>
            </w:pPr>
            <w:r>
              <w:t>Résolution Spatial</w:t>
            </w:r>
          </w:p>
        </w:tc>
        <w:tc>
          <w:tcPr>
            <w:tcW w:w="1987" w:type="dxa"/>
            <w:vAlign w:val="center"/>
          </w:tcPr>
          <w:p w14:paraId="55C840D4" w14:textId="77777777" w:rsidR="00B833E5" w:rsidRDefault="00B833E5" w:rsidP="0097424E">
            <w:pPr>
              <w:jc w:val="center"/>
              <w:cnfStyle w:val="100000000000" w:firstRow="1" w:lastRow="0" w:firstColumn="0" w:lastColumn="0" w:oddVBand="0" w:evenVBand="0" w:oddHBand="0" w:evenHBand="0" w:firstRowFirstColumn="0" w:firstRowLastColumn="0" w:lastRowFirstColumn="0" w:lastRowLastColumn="0"/>
            </w:pPr>
            <w:r>
              <w:t>Résolution temporelle</w:t>
            </w:r>
          </w:p>
        </w:tc>
        <w:tc>
          <w:tcPr>
            <w:tcW w:w="2418" w:type="dxa"/>
            <w:vAlign w:val="center"/>
          </w:tcPr>
          <w:p w14:paraId="7E6BE61F" w14:textId="43D97621" w:rsidR="00B833E5" w:rsidRDefault="00B833E5" w:rsidP="0097424E">
            <w:pPr>
              <w:jc w:val="center"/>
              <w:cnfStyle w:val="100000000000" w:firstRow="1" w:lastRow="0" w:firstColumn="0" w:lastColumn="0" w:oddVBand="0" w:evenVBand="0" w:oddHBand="0" w:evenHBand="0" w:firstRowFirstColumn="0" w:firstRowLastColumn="0" w:lastRowFirstColumn="0" w:lastRowLastColumn="0"/>
            </w:pPr>
            <w:r>
              <w:t>Résolution</w:t>
            </w:r>
          </w:p>
          <w:p w14:paraId="0C681CB0" w14:textId="77777777" w:rsidR="00B833E5" w:rsidRDefault="00B833E5" w:rsidP="0097424E">
            <w:pPr>
              <w:jc w:val="center"/>
              <w:cnfStyle w:val="100000000000" w:firstRow="1" w:lastRow="0" w:firstColumn="0" w:lastColumn="0" w:oddVBand="0" w:evenVBand="0" w:oddHBand="0" w:evenHBand="0" w:firstRowFirstColumn="0" w:firstRowLastColumn="0" w:lastRowFirstColumn="0" w:lastRowLastColumn="0"/>
            </w:pPr>
            <w:r>
              <w:t>vertical</w:t>
            </w:r>
          </w:p>
        </w:tc>
        <w:tc>
          <w:tcPr>
            <w:tcW w:w="1682" w:type="dxa"/>
            <w:vAlign w:val="center"/>
          </w:tcPr>
          <w:p w14:paraId="1121554C" w14:textId="77777777" w:rsidR="00B833E5" w:rsidRDefault="00B833E5" w:rsidP="0097424E">
            <w:pPr>
              <w:jc w:val="center"/>
              <w:cnfStyle w:val="100000000000" w:firstRow="1" w:lastRow="0" w:firstColumn="0" w:lastColumn="0" w:oddVBand="0" w:evenVBand="0" w:oddHBand="0" w:evenHBand="0" w:firstRowFirstColumn="0" w:firstRowLastColumn="0" w:lastRowFirstColumn="0" w:lastRowLastColumn="0"/>
            </w:pPr>
            <w:r>
              <w:t>Période couverte</w:t>
            </w:r>
          </w:p>
        </w:tc>
      </w:tr>
      <w:tr w:rsidR="00B833E5" w14:paraId="511D54A6" w14:textId="77777777" w:rsidTr="0097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14:paraId="7F27612C" w14:textId="77777777" w:rsidR="00B833E5" w:rsidRDefault="00B833E5" w:rsidP="0097424E">
            <w:pPr>
              <w:jc w:val="center"/>
            </w:pPr>
            <w:r>
              <w:t>ERA5</w:t>
            </w:r>
          </w:p>
        </w:tc>
        <w:tc>
          <w:tcPr>
            <w:tcW w:w="2053" w:type="dxa"/>
            <w:vAlign w:val="center"/>
          </w:tcPr>
          <w:p w14:paraId="24C7C3E1"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0.25° x 0.25°</w:t>
            </w:r>
          </w:p>
        </w:tc>
        <w:tc>
          <w:tcPr>
            <w:tcW w:w="1987" w:type="dxa"/>
            <w:vAlign w:val="center"/>
          </w:tcPr>
          <w:p w14:paraId="1EB261FC"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1h</w:t>
            </w:r>
          </w:p>
        </w:tc>
        <w:tc>
          <w:tcPr>
            <w:tcW w:w="2418" w:type="dxa"/>
            <w:vAlign w:val="center"/>
          </w:tcPr>
          <w:p w14:paraId="3C65D2D2"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37 niveaux de pressions</w:t>
            </w:r>
          </w:p>
        </w:tc>
        <w:tc>
          <w:tcPr>
            <w:tcW w:w="1682" w:type="dxa"/>
            <w:vAlign w:val="center"/>
          </w:tcPr>
          <w:p w14:paraId="295586B3"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1979-Présent</w:t>
            </w:r>
          </w:p>
        </w:tc>
      </w:tr>
      <w:tr w:rsidR="00B833E5" w14:paraId="2DB99B83" w14:textId="77777777" w:rsidTr="0097424E">
        <w:tc>
          <w:tcPr>
            <w:cnfStyle w:val="001000000000" w:firstRow="0" w:lastRow="0" w:firstColumn="1" w:lastColumn="0" w:oddVBand="0" w:evenVBand="0" w:oddHBand="0" w:evenHBand="0" w:firstRowFirstColumn="0" w:firstRowLastColumn="0" w:lastRowFirstColumn="0" w:lastRowLastColumn="0"/>
            <w:tcW w:w="922" w:type="dxa"/>
            <w:vAlign w:val="center"/>
          </w:tcPr>
          <w:p w14:paraId="6D45330D" w14:textId="77777777" w:rsidR="00B833E5" w:rsidRDefault="00B833E5" w:rsidP="0097424E">
            <w:pPr>
              <w:jc w:val="center"/>
            </w:pPr>
            <w:r>
              <w:t>AROME</w:t>
            </w:r>
          </w:p>
        </w:tc>
        <w:tc>
          <w:tcPr>
            <w:tcW w:w="2053" w:type="dxa"/>
            <w:vAlign w:val="center"/>
          </w:tcPr>
          <w:p w14:paraId="12C47642" w14:textId="77777777" w:rsidR="00B833E5" w:rsidRDefault="00B833E5" w:rsidP="0097424E">
            <w:pPr>
              <w:jc w:val="center"/>
              <w:cnfStyle w:val="000000000000" w:firstRow="0" w:lastRow="0" w:firstColumn="0" w:lastColumn="0" w:oddVBand="0" w:evenVBand="0" w:oddHBand="0" w:evenHBand="0" w:firstRowFirstColumn="0" w:firstRowLastColumn="0" w:lastRowFirstColumn="0" w:lastRowLastColumn="0"/>
            </w:pPr>
            <w:r>
              <w:t>2.5km x 2.5km</w:t>
            </w:r>
          </w:p>
        </w:tc>
        <w:tc>
          <w:tcPr>
            <w:tcW w:w="1987" w:type="dxa"/>
            <w:vAlign w:val="center"/>
          </w:tcPr>
          <w:p w14:paraId="15F97142" w14:textId="77777777" w:rsidR="00B833E5" w:rsidRDefault="00B833E5" w:rsidP="0097424E">
            <w:pPr>
              <w:jc w:val="center"/>
              <w:cnfStyle w:val="000000000000" w:firstRow="0" w:lastRow="0" w:firstColumn="0" w:lastColumn="0" w:oddVBand="0" w:evenVBand="0" w:oddHBand="0" w:evenHBand="0" w:firstRowFirstColumn="0" w:firstRowLastColumn="0" w:lastRowFirstColumn="0" w:lastRowLastColumn="0"/>
            </w:pPr>
            <w:r>
              <w:t>1h</w:t>
            </w:r>
          </w:p>
        </w:tc>
        <w:tc>
          <w:tcPr>
            <w:tcW w:w="2418" w:type="dxa"/>
            <w:vAlign w:val="center"/>
          </w:tcPr>
          <w:p w14:paraId="1D7ABC0F" w14:textId="77777777" w:rsidR="00B833E5" w:rsidRDefault="00B833E5" w:rsidP="0097424E">
            <w:pPr>
              <w:jc w:val="center"/>
              <w:cnfStyle w:val="000000000000" w:firstRow="0" w:lastRow="0" w:firstColumn="0" w:lastColumn="0" w:oddVBand="0" w:evenVBand="0" w:oddHBand="0" w:evenHBand="0" w:firstRowFirstColumn="0" w:firstRowLastColumn="0" w:lastRowFirstColumn="0" w:lastRowLastColumn="0"/>
            </w:pPr>
            <w:r>
              <w:t>65 niveaux de pressions</w:t>
            </w:r>
          </w:p>
        </w:tc>
        <w:tc>
          <w:tcPr>
            <w:tcW w:w="1682" w:type="dxa"/>
            <w:vAlign w:val="center"/>
          </w:tcPr>
          <w:p w14:paraId="088D3F14" w14:textId="77777777" w:rsidR="00B833E5" w:rsidRDefault="00B833E5" w:rsidP="0097424E">
            <w:pPr>
              <w:jc w:val="center"/>
              <w:cnfStyle w:val="000000000000" w:firstRow="0" w:lastRow="0" w:firstColumn="0" w:lastColumn="0" w:oddVBand="0" w:evenVBand="0" w:oddHBand="0" w:evenHBand="0" w:firstRowFirstColumn="0" w:firstRowLastColumn="0" w:lastRowFirstColumn="0" w:lastRowLastColumn="0"/>
            </w:pPr>
            <w:r>
              <w:t>2017-Présent</w:t>
            </w:r>
          </w:p>
        </w:tc>
      </w:tr>
      <w:tr w:rsidR="00B833E5" w14:paraId="2590D3B2" w14:textId="77777777" w:rsidTr="0097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14:paraId="448FC1BD" w14:textId="77777777" w:rsidR="00B833E5" w:rsidRDefault="00B833E5" w:rsidP="0097424E">
            <w:pPr>
              <w:jc w:val="center"/>
            </w:pPr>
            <w:r>
              <w:t>CARRA</w:t>
            </w:r>
          </w:p>
        </w:tc>
        <w:tc>
          <w:tcPr>
            <w:tcW w:w="2053" w:type="dxa"/>
            <w:vAlign w:val="center"/>
          </w:tcPr>
          <w:p w14:paraId="5A083EA2"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2.5km x 2.5km</w:t>
            </w:r>
          </w:p>
        </w:tc>
        <w:tc>
          <w:tcPr>
            <w:tcW w:w="1987" w:type="dxa"/>
            <w:vAlign w:val="center"/>
          </w:tcPr>
          <w:p w14:paraId="0957B7EE"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3h</w:t>
            </w:r>
          </w:p>
        </w:tc>
        <w:tc>
          <w:tcPr>
            <w:tcW w:w="2418" w:type="dxa"/>
            <w:vAlign w:val="center"/>
          </w:tcPr>
          <w:p w14:paraId="0537C83B" w14:textId="77777777" w:rsidR="00B833E5" w:rsidRDefault="00B833E5" w:rsidP="0097424E">
            <w:pPr>
              <w:jc w:val="center"/>
              <w:cnfStyle w:val="000000100000" w:firstRow="0" w:lastRow="0" w:firstColumn="0" w:lastColumn="0" w:oddVBand="0" w:evenVBand="0" w:oddHBand="1" w:evenHBand="0" w:firstRowFirstColumn="0" w:firstRowLastColumn="0" w:lastRowFirstColumn="0" w:lastRowLastColumn="0"/>
            </w:pPr>
            <w:r>
              <w:t>23 niveaux de pressions</w:t>
            </w:r>
          </w:p>
        </w:tc>
        <w:tc>
          <w:tcPr>
            <w:tcW w:w="1682" w:type="dxa"/>
            <w:vAlign w:val="center"/>
          </w:tcPr>
          <w:p w14:paraId="48093DB3" w14:textId="77777777" w:rsidR="00B833E5" w:rsidRDefault="00B833E5" w:rsidP="0097424E">
            <w:pPr>
              <w:keepNext/>
              <w:jc w:val="center"/>
              <w:cnfStyle w:val="000000100000" w:firstRow="0" w:lastRow="0" w:firstColumn="0" w:lastColumn="0" w:oddVBand="0" w:evenVBand="0" w:oddHBand="1" w:evenHBand="0" w:firstRowFirstColumn="0" w:firstRowLastColumn="0" w:lastRowFirstColumn="0" w:lastRowLastColumn="0"/>
            </w:pPr>
            <w:r>
              <w:t>1991-Présent</w:t>
            </w:r>
          </w:p>
        </w:tc>
      </w:tr>
    </w:tbl>
    <w:p w14:paraId="7ACBA918" w14:textId="3C7C14C5" w:rsidR="00551E3C" w:rsidRDefault="00B833E5" w:rsidP="0097424E">
      <w:pPr>
        <w:pStyle w:val="Lgende"/>
        <w:jc w:val="center"/>
      </w:pPr>
      <w:r>
        <w:t xml:space="preserve">Table </w:t>
      </w:r>
      <w:fldSimple w:instr=" SEQ Table \* ARABIC ">
        <w:r>
          <w:rPr>
            <w:noProof/>
          </w:rPr>
          <w:t>1</w:t>
        </w:r>
      </w:fldSimple>
      <w:r w:rsidR="0097424E">
        <w:t>.2</w:t>
      </w:r>
      <w:r>
        <w:t xml:space="preserve"> - résumé des résolutions spatial et temporelle de chacune des bases de données de réanalyse</w:t>
      </w:r>
    </w:p>
    <w:p w14:paraId="3930BEA7" w14:textId="61444EA5" w:rsidR="00F32921" w:rsidRDefault="00F32921" w:rsidP="00F32921"/>
    <w:p w14:paraId="04FFC58E" w14:textId="77777777" w:rsidR="006505E6" w:rsidRDefault="006505E6" w:rsidP="006505E6">
      <w:pPr>
        <w:pStyle w:val="Titre1"/>
        <w:numPr>
          <w:ilvl w:val="0"/>
          <w:numId w:val="1"/>
        </w:numPr>
      </w:pPr>
      <w:r>
        <w:t>Conclusion</w:t>
      </w:r>
    </w:p>
    <w:p w14:paraId="3D289C47" w14:textId="0B7C4E36" w:rsidR="008D13ED" w:rsidRPr="008D13ED" w:rsidRDefault="008D13ED" w:rsidP="008D13ED"/>
    <w:p w14:paraId="504A546D" w14:textId="101C1193" w:rsidR="0097424E" w:rsidRDefault="0097424E" w:rsidP="0097424E">
      <w:pPr>
        <w:jc w:val="both"/>
      </w:pPr>
      <w:r>
        <w:t xml:space="preserve">Ce chapitre a introduit la propagation des ondes radio dans la troposphère dans les régions polaires en quatre étapes distinctes. Tout d'abord, après avoir rappelé plusieurs définitions importantes telles que la troposphère et les principaux contributeurs de à la perturbation de la propagation des ondes électromagnétiques à travers celle-ci, les zone hautes latitudes, ces différentes classifications de climats et l'impact de ceux-ci sur la propagation troposphérique ont été présenté. Ensuite, un état de l'art des modèles ITU d'atténuation troposphérique dus aux gaz atmosphériques, aux nuages et aux hydrométéores a été réalisé. Il a été mis en avant que très peu de model pour la neige développée pour les hautes latitudes existe dans la littérature. Enfin, une description des données disponibles utilisées pour caractériser le canal de propagation a été examinée. L’expérience de propagation dans </w:t>
      </w:r>
      <w:r>
        <w:lastRenderedPageBreak/>
        <w:t>les régions polaires en bande Ka menée par l’ESA et le CNES depuis mars 2016 aux Svalbard, en Norvège est détaillé, car elle sera largement utilisée dans ces travaux par la suite. En effet, celle-ci nous apporte, une base de mesure de données en atténuation aux hautes latitudes à la bande Ka, mais aussi des données météorologiques diverses, tels que la température, la pression, l’humidité ou les cumuls de précipitations.</w:t>
      </w:r>
      <w:r w:rsidR="001B5729">
        <w:t xml:space="preserve"> Aux vues de la faible quantité et de la fiabilité incertaine des données météorologiques, les futur travaux s’appuierons aussi sur des</w:t>
      </w:r>
      <w:r>
        <w:t xml:space="preserve"> bases de données de réanalyse et d'observation </w:t>
      </w:r>
      <w:r w:rsidR="001B5729">
        <w:t xml:space="preserve">qui </w:t>
      </w:r>
      <w:r>
        <w:t>ont été présentées</w:t>
      </w:r>
      <w:r w:rsidR="001B5729">
        <w:t>. à savoir les bases</w:t>
      </w:r>
      <w:r>
        <w:t xml:space="preserve"> de données de réanalyse ERA5, CARRA et Arome-</w:t>
      </w:r>
      <w:proofErr w:type="spellStart"/>
      <w:r>
        <w:t>Arctic</w:t>
      </w:r>
      <w:proofErr w:type="spellEnd"/>
      <w:r>
        <w:t xml:space="preserve">. </w:t>
      </w:r>
      <w:r w:rsidR="001B5729">
        <w:t>Ces bases de données sont précieuses puisqu’elle apporte un soutien aux données expérimentale avec un apport en données tels que la température, la pression, les cumuls de précipitations ou même pour certaine les types de précipitations précipitants. La vigilance autour des résolutions spatiale et temporelles des données issues de ces bases de réanalyse a été mis en évidence à travers d’exemples.</w:t>
      </w:r>
    </w:p>
    <w:p w14:paraId="4E95C2A6" w14:textId="77777777" w:rsidR="0097424E" w:rsidRDefault="0097424E" w:rsidP="0097424E">
      <w:pPr>
        <w:jc w:val="both"/>
      </w:pPr>
      <w:r>
        <w:t>Dans ce chapitre il a été montré que l</w:t>
      </w:r>
      <w:r w:rsidRPr="00014C60">
        <w:t xml:space="preserve">a mise en œuvre et le maintien à long terme d'expériences de propagation électromagnétique dans les régions polaires sont extrêmement complexes en raison des conditions météorologiques difficiles. Par conséquent, une approche plus réaliste consiste à adopter une stratégie de couplage entre </w:t>
      </w:r>
      <w:r>
        <w:t>un modèle</w:t>
      </w:r>
      <w:r w:rsidRPr="00014C60">
        <w:t xml:space="preserve"> de prévision météorologique et </w:t>
      </w:r>
      <w:r>
        <w:t>un module</w:t>
      </w:r>
      <w:r w:rsidRPr="00014C60">
        <w:t xml:space="preserve"> </w:t>
      </w:r>
      <w:r>
        <w:t>électromagnétique</w:t>
      </w:r>
      <w:r w:rsidRPr="00014C60">
        <w:t xml:space="preserve">. </w:t>
      </w:r>
    </w:p>
    <w:p w14:paraId="6259271B" w14:textId="782297F8" w:rsidR="0097424E" w:rsidRDefault="0097424E" w:rsidP="0097424E">
      <w:pPr>
        <w:jc w:val="both"/>
      </w:pPr>
      <w:r w:rsidRPr="004A697B">
        <w:t xml:space="preserve">Le chapitre suivant se penchera sur les différentes études existantes dans la littérature qui associent un modèle de prévision numérique météorologique à un module électromagnétique pour calculer l'atténuation troposphérique subie par une onde radio, contribuant ainsi à la création de statistiques de propagation. Une attention particulière sera portée à l'étude </w:t>
      </w:r>
      <w:r>
        <w:fldChar w:fldCharType="begin"/>
      </w:r>
      <w:r>
        <w:instrText xml:space="preserve"> ADDIN ZOTERO_ITEM CSL_CITATION {"citationID":"Icm4Vm2r","properties":{"formattedCitation":"(J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fldChar w:fldCharType="separate"/>
      </w:r>
      <w:r w:rsidRPr="00EF5766">
        <w:rPr>
          <w:rFonts w:ascii="Calibri" w:hAnsi="Calibri" w:cs="Calibri"/>
        </w:rPr>
        <w:t>(J Queyrel, 2021)</w:t>
      </w:r>
      <w:r>
        <w:fldChar w:fldCharType="end"/>
      </w:r>
      <w:r>
        <w:t xml:space="preserve">, </w:t>
      </w:r>
      <w:r w:rsidRPr="004A697B">
        <w:t xml:space="preserve">qui se distingue en étant la seule étude de ce domaine à se dérouler dans les zones polaires. </w:t>
      </w:r>
    </w:p>
    <w:p w14:paraId="5A0034DF" w14:textId="49507419" w:rsidR="008D13ED" w:rsidRPr="008D13ED" w:rsidRDefault="008D13ED" w:rsidP="008D13ED"/>
    <w:p w14:paraId="54F92A20" w14:textId="7646DDEF" w:rsidR="008D13ED" w:rsidRDefault="008D13ED" w:rsidP="008D13ED"/>
    <w:p w14:paraId="75D1E2AA" w14:textId="671CD8EB" w:rsidR="008D13ED" w:rsidRPr="008D13ED" w:rsidRDefault="008D13ED" w:rsidP="008D13ED"/>
    <w:sectPr w:rsidR="008D13ED" w:rsidRPr="008D13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04616"/>
    <w:multiLevelType w:val="hybridMultilevel"/>
    <w:tmpl w:val="5028612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45134"/>
    <w:multiLevelType w:val="hybridMultilevel"/>
    <w:tmpl w:val="D6D0867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7E4E81"/>
    <w:multiLevelType w:val="hybridMultilevel"/>
    <w:tmpl w:val="AA283CF0"/>
    <w:lvl w:ilvl="0" w:tplc="7506D602">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5194240"/>
    <w:multiLevelType w:val="multilevel"/>
    <w:tmpl w:val="5CF6A2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75C51A3"/>
    <w:multiLevelType w:val="hybridMultilevel"/>
    <w:tmpl w:val="A93835DC"/>
    <w:lvl w:ilvl="0" w:tplc="9ACE3F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3ED"/>
    <w:rsid w:val="00011806"/>
    <w:rsid w:val="00054117"/>
    <w:rsid w:val="000970E8"/>
    <w:rsid w:val="000C2FE0"/>
    <w:rsid w:val="000C3394"/>
    <w:rsid w:val="000F6B1A"/>
    <w:rsid w:val="00106A15"/>
    <w:rsid w:val="001600B3"/>
    <w:rsid w:val="00186801"/>
    <w:rsid w:val="0019151E"/>
    <w:rsid w:val="00191948"/>
    <w:rsid w:val="001B5729"/>
    <w:rsid w:val="00216BF1"/>
    <w:rsid w:val="00250DE8"/>
    <w:rsid w:val="002779AF"/>
    <w:rsid w:val="00293C18"/>
    <w:rsid w:val="00310EF5"/>
    <w:rsid w:val="00316B7F"/>
    <w:rsid w:val="003E4E4E"/>
    <w:rsid w:val="004574DA"/>
    <w:rsid w:val="004A20B5"/>
    <w:rsid w:val="004B58FD"/>
    <w:rsid w:val="004E13F7"/>
    <w:rsid w:val="00506BB8"/>
    <w:rsid w:val="005151B7"/>
    <w:rsid w:val="0053139B"/>
    <w:rsid w:val="00551E3C"/>
    <w:rsid w:val="005725CC"/>
    <w:rsid w:val="0058349D"/>
    <w:rsid w:val="005A1F37"/>
    <w:rsid w:val="005F3AB0"/>
    <w:rsid w:val="00640689"/>
    <w:rsid w:val="006505E6"/>
    <w:rsid w:val="00656FB6"/>
    <w:rsid w:val="006916B9"/>
    <w:rsid w:val="006C5DA6"/>
    <w:rsid w:val="007046A8"/>
    <w:rsid w:val="00744A50"/>
    <w:rsid w:val="00754A13"/>
    <w:rsid w:val="007C6AC6"/>
    <w:rsid w:val="007F61B0"/>
    <w:rsid w:val="00812985"/>
    <w:rsid w:val="0084310C"/>
    <w:rsid w:val="008C5E90"/>
    <w:rsid w:val="008D13ED"/>
    <w:rsid w:val="008E5F22"/>
    <w:rsid w:val="00904C29"/>
    <w:rsid w:val="00922188"/>
    <w:rsid w:val="00934CFB"/>
    <w:rsid w:val="0094657B"/>
    <w:rsid w:val="0097424E"/>
    <w:rsid w:val="009A0929"/>
    <w:rsid w:val="009A1E70"/>
    <w:rsid w:val="009A48A7"/>
    <w:rsid w:val="00A12EEB"/>
    <w:rsid w:val="00A23F7F"/>
    <w:rsid w:val="00A30742"/>
    <w:rsid w:val="00A364B3"/>
    <w:rsid w:val="00A37C3D"/>
    <w:rsid w:val="00A546B1"/>
    <w:rsid w:val="00A62FDF"/>
    <w:rsid w:val="00AC2F08"/>
    <w:rsid w:val="00AF3289"/>
    <w:rsid w:val="00B02631"/>
    <w:rsid w:val="00B833E5"/>
    <w:rsid w:val="00BA23C7"/>
    <w:rsid w:val="00C148A2"/>
    <w:rsid w:val="00C6657D"/>
    <w:rsid w:val="00C7036B"/>
    <w:rsid w:val="00C73A60"/>
    <w:rsid w:val="00CE6F3D"/>
    <w:rsid w:val="00D01FD5"/>
    <w:rsid w:val="00D12BB6"/>
    <w:rsid w:val="00D53F6D"/>
    <w:rsid w:val="00D85834"/>
    <w:rsid w:val="00D861B5"/>
    <w:rsid w:val="00DB66B9"/>
    <w:rsid w:val="00DC6475"/>
    <w:rsid w:val="00DF2E82"/>
    <w:rsid w:val="00E27C22"/>
    <w:rsid w:val="00EB32F5"/>
    <w:rsid w:val="00F32921"/>
    <w:rsid w:val="00F81819"/>
    <w:rsid w:val="00FA5B1C"/>
    <w:rsid w:val="00FB7AD4"/>
    <w:rsid w:val="00FC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F2F4"/>
  <w15:chartTrackingRefBased/>
  <w15:docId w15:val="{CC3705BE-0B61-4DCB-9934-256741321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D13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13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B66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13E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D13ED"/>
    <w:rPr>
      <w:rFonts w:asciiTheme="majorHAnsi" w:eastAsiaTheme="majorEastAsia" w:hAnsiTheme="majorHAnsi" w:cstheme="majorBidi"/>
      <w:color w:val="2E74B5" w:themeColor="accent1" w:themeShade="BF"/>
      <w:sz w:val="26"/>
      <w:szCs w:val="26"/>
    </w:rPr>
  </w:style>
  <w:style w:type="paragraph" w:styleId="Sansinterligne">
    <w:name w:val="No Spacing"/>
    <w:uiPriority w:val="1"/>
    <w:qFormat/>
    <w:rsid w:val="00D53F6D"/>
    <w:pPr>
      <w:spacing w:after="0" w:line="240" w:lineRule="auto"/>
    </w:pPr>
  </w:style>
  <w:style w:type="paragraph" w:styleId="Titre">
    <w:name w:val="Title"/>
    <w:basedOn w:val="Normal"/>
    <w:next w:val="Normal"/>
    <w:link w:val="TitreCar"/>
    <w:uiPriority w:val="10"/>
    <w:qFormat/>
    <w:rsid w:val="00D53F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3F6D"/>
    <w:rPr>
      <w:rFonts w:asciiTheme="majorHAnsi" w:eastAsiaTheme="majorEastAsia" w:hAnsiTheme="majorHAnsi" w:cstheme="majorBidi"/>
      <w:spacing w:val="-10"/>
      <w:kern w:val="28"/>
      <w:sz w:val="56"/>
      <w:szCs w:val="56"/>
    </w:rPr>
  </w:style>
  <w:style w:type="character" w:styleId="Textedelespacerserv">
    <w:name w:val="Placeholder Text"/>
    <w:basedOn w:val="Policepardfaut"/>
    <w:uiPriority w:val="99"/>
    <w:semiHidden/>
    <w:rsid w:val="009A48A7"/>
    <w:rPr>
      <w:color w:val="808080"/>
    </w:rPr>
  </w:style>
  <w:style w:type="paragraph" w:styleId="Lgende">
    <w:name w:val="caption"/>
    <w:basedOn w:val="Normal"/>
    <w:next w:val="Normal"/>
    <w:uiPriority w:val="35"/>
    <w:unhideWhenUsed/>
    <w:qFormat/>
    <w:rsid w:val="009A48A7"/>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DB66B9"/>
    <w:rPr>
      <w:rFonts w:asciiTheme="majorHAnsi" w:eastAsiaTheme="majorEastAsia" w:hAnsiTheme="majorHAnsi" w:cstheme="majorBidi"/>
      <w:color w:val="1F4D78" w:themeColor="accent1" w:themeShade="7F"/>
      <w:sz w:val="24"/>
      <w:szCs w:val="24"/>
    </w:rPr>
  </w:style>
  <w:style w:type="paragraph" w:styleId="Textedebulles">
    <w:name w:val="Balloon Text"/>
    <w:basedOn w:val="Normal"/>
    <w:link w:val="TextedebullesCar"/>
    <w:uiPriority w:val="99"/>
    <w:semiHidden/>
    <w:unhideWhenUsed/>
    <w:rsid w:val="007046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046A8"/>
    <w:rPr>
      <w:rFonts w:ascii="Segoe UI" w:hAnsi="Segoe UI" w:cs="Segoe UI"/>
      <w:sz w:val="18"/>
      <w:szCs w:val="18"/>
    </w:rPr>
  </w:style>
  <w:style w:type="character" w:styleId="Marquedecommentaire">
    <w:name w:val="annotation reference"/>
    <w:basedOn w:val="Policepardfaut"/>
    <w:uiPriority w:val="99"/>
    <w:semiHidden/>
    <w:unhideWhenUsed/>
    <w:rsid w:val="00DF2E82"/>
    <w:rPr>
      <w:sz w:val="16"/>
      <w:szCs w:val="16"/>
    </w:rPr>
  </w:style>
  <w:style w:type="paragraph" w:styleId="Commentaire">
    <w:name w:val="annotation text"/>
    <w:basedOn w:val="Normal"/>
    <w:link w:val="CommentaireCar"/>
    <w:uiPriority w:val="99"/>
    <w:semiHidden/>
    <w:unhideWhenUsed/>
    <w:rsid w:val="00DF2E82"/>
    <w:pPr>
      <w:spacing w:line="240" w:lineRule="auto"/>
    </w:pPr>
    <w:rPr>
      <w:sz w:val="20"/>
      <w:szCs w:val="20"/>
    </w:rPr>
  </w:style>
  <w:style w:type="character" w:customStyle="1" w:styleId="CommentaireCar">
    <w:name w:val="Commentaire Car"/>
    <w:basedOn w:val="Policepardfaut"/>
    <w:link w:val="Commentaire"/>
    <w:uiPriority w:val="99"/>
    <w:semiHidden/>
    <w:rsid w:val="00DF2E82"/>
    <w:rPr>
      <w:sz w:val="20"/>
      <w:szCs w:val="20"/>
    </w:rPr>
  </w:style>
  <w:style w:type="paragraph" w:styleId="Paragraphedeliste">
    <w:name w:val="List Paragraph"/>
    <w:basedOn w:val="Normal"/>
    <w:uiPriority w:val="34"/>
    <w:qFormat/>
    <w:rsid w:val="00191948"/>
    <w:pPr>
      <w:ind w:left="720"/>
      <w:contextualSpacing/>
    </w:pPr>
  </w:style>
  <w:style w:type="table" w:styleId="Grilledutableau">
    <w:name w:val="Table Grid"/>
    <w:basedOn w:val="TableauNormal"/>
    <w:uiPriority w:val="39"/>
    <w:rsid w:val="00BA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868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B833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Feuil1!$C$9</c:f>
              <c:strCache>
                <c:ptCount val="1"/>
                <c:pt idx="0">
                  <c:v>Précipitation </c:v>
                </c:pt>
              </c:strCache>
            </c:strRef>
          </c:tx>
          <c:spPr>
            <a:solidFill>
              <a:schemeClr val="accent1"/>
            </a:solidFill>
            <a:ln>
              <a:noFill/>
            </a:ln>
            <a:effectLst/>
          </c:spPr>
          <c:invertIfNegative val="0"/>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Feuil1!$C$10:$C$21</c:f>
              <c:numCache>
                <c:formatCode>General</c:formatCode>
                <c:ptCount val="12"/>
                <c:pt idx="0">
                  <c:v>48.8</c:v>
                </c:pt>
                <c:pt idx="1">
                  <c:v>43.2</c:v>
                </c:pt>
                <c:pt idx="2">
                  <c:v>47.1</c:v>
                </c:pt>
                <c:pt idx="3">
                  <c:v>32.6</c:v>
                </c:pt>
                <c:pt idx="4">
                  <c:v>28.8</c:v>
                </c:pt>
                <c:pt idx="5">
                  <c:v>31</c:v>
                </c:pt>
                <c:pt idx="6">
                  <c:v>45.9</c:v>
                </c:pt>
                <c:pt idx="7">
                  <c:v>54.7</c:v>
                </c:pt>
                <c:pt idx="8">
                  <c:v>57.7</c:v>
                </c:pt>
                <c:pt idx="9">
                  <c:v>54.7</c:v>
                </c:pt>
                <c:pt idx="10">
                  <c:v>55</c:v>
                </c:pt>
                <c:pt idx="11">
                  <c:v>52.3</c:v>
                </c:pt>
              </c:numCache>
            </c:numRef>
          </c:val>
          <c:extLst>
            <c:ext xmlns:c16="http://schemas.microsoft.com/office/drawing/2014/chart" uri="{C3380CC4-5D6E-409C-BE32-E72D297353CC}">
              <c16:uniqueId val="{00000000-33E7-430B-9D06-AE17545D44B3}"/>
            </c:ext>
          </c:extLst>
        </c:ser>
        <c:dLbls>
          <c:showLegendKey val="0"/>
          <c:showVal val="0"/>
          <c:showCatName val="0"/>
          <c:showSerName val="0"/>
          <c:showPercent val="0"/>
          <c:showBubbleSize val="0"/>
        </c:dLbls>
        <c:gapWidth val="219"/>
        <c:overlap val="-27"/>
        <c:axId val="581737888"/>
        <c:axId val="581744776"/>
      </c:barChart>
      <c:lineChart>
        <c:grouping val="stacked"/>
        <c:varyColors val="0"/>
        <c:ser>
          <c:idx val="1"/>
          <c:order val="1"/>
          <c:tx>
            <c:strRef>
              <c:f>Feuil1!$D$9</c:f>
              <c:strCache>
                <c:ptCount val="1"/>
                <c:pt idx="0">
                  <c:v>Température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Feuil1!$D$10:$D$21</c:f>
              <c:numCache>
                <c:formatCode>General</c:formatCode>
                <c:ptCount val="12"/>
                <c:pt idx="0">
                  <c:v>-14.909999999999968</c:v>
                </c:pt>
                <c:pt idx="1">
                  <c:v>-15.399999999999977</c:v>
                </c:pt>
                <c:pt idx="2">
                  <c:v>-15.25</c:v>
                </c:pt>
                <c:pt idx="3">
                  <c:v>-11.729999999999961</c:v>
                </c:pt>
                <c:pt idx="4">
                  <c:v>-4.6899999999999977</c:v>
                </c:pt>
                <c:pt idx="5">
                  <c:v>0.62000000000000455</c:v>
                </c:pt>
                <c:pt idx="6">
                  <c:v>0.67000000000001592</c:v>
                </c:pt>
                <c:pt idx="7">
                  <c:v>2.7800000000000296</c:v>
                </c:pt>
                <c:pt idx="8">
                  <c:v>-0.56999999999999318</c:v>
                </c:pt>
                <c:pt idx="9">
                  <c:v>-6.0699999999999932</c:v>
                </c:pt>
                <c:pt idx="10">
                  <c:v>-10.149999999999977</c:v>
                </c:pt>
                <c:pt idx="11">
                  <c:v>-13.189999999999998</c:v>
                </c:pt>
              </c:numCache>
            </c:numRef>
          </c:val>
          <c:smooth val="0"/>
          <c:extLst>
            <c:ext xmlns:c16="http://schemas.microsoft.com/office/drawing/2014/chart" uri="{C3380CC4-5D6E-409C-BE32-E72D297353CC}">
              <c16:uniqueId val="{00000001-33E7-430B-9D06-AE17545D44B3}"/>
            </c:ext>
          </c:extLst>
        </c:ser>
        <c:dLbls>
          <c:showLegendKey val="0"/>
          <c:showVal val="0"/>
          <c:showCatName val="0"/>
          <c:showSerName val="0"/>
          <c:showPercent val="0"/>
          <c:showBubbleSize val="0"/>
        </c:dLbls>
        <c:marker val="1"/>
        <c:smooth val="0"/>
        <c:axId val="581734280"/>
        <c:axId val="581732312"/>
        <c:extLst>
          <c:ext xmlns:c15="http://schemas.microsoft.com/office/drawing/2012/chart" uri="{02D57815-91ED-43cb-92C2-25804820EDAC}">
            <c15:filteredLineSeries>
              <c15:ser>
                <c:idx val="2"/>
                <c:order val="2"/>
                <c:tx>
                  <c:strRef>
                    <c:extLst>
                      <c:ext uri="{02D57815-91ED-43cb-92C2-25804820EDAC}">
                        <c15:formulaRef>
                          <c15:sqref>Feuil1!$E$9</c15:sqref>
                        </c15:formulaRef>
                      </c:ext>
                    </c:extLst>
                    <c:strCache>
                      <c:ptCount val="1"/>
                      <c:pt idx="0">
                        <c:v>T0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extLst>
                      <c:ext uri="{02D57815-91ED-43cb-92C2-25804820EDAC}">
                        <c15:formulaRef>
                          <c15:sqref>Feuil1!$E$10:$E$21</c15:sqref>
                        </c15:formulaRef>
                      </c:ext>
                    </c:extLst>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2-33E7-430B-9D06-AE17545D44B3}"/>
                  </c:ext>
                </c:extLst>
              </c15:ser>
            </c15:filteredLineSeries>
          </c:ext>
        </c:extLst>
      </c:lineChart>
      <c:catAx>
        <c:axId val="5817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44776"/>
        <c:crosses val="autoZero"/>
        <c:auto val="1"/>
        <c:lblAlgn val="ctr"/>
        <c:lblOffset val="100"/>
        <c:noMultiLvlLbl val="0"/>
      </c:catAx>
      <c:valAx>
        <c:axId val="58174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Précipitations</a:t>
                </a:r>
                <a:r>
                  <a:rPr lang="en-US" baseline="0"/>
                  <a:t> totales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7888"/>
        <c:crosses val="autoZero"/>
        <c:crossBetween val="between"/>
      </c:valAx>
      <c:valAx>
        <c:axId val="5817323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Température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4280"/>
        <c:crosses val="max"/>
        <c:crossBetween val="between"/>
        <c:minorUnit val="4"/>
      </c:valAx>
      <c:catAx>
        <c:axId val="581734280"/>
        <c:scaling>
          <c:orientation val="minMax"/>
        </c:scaling>
        <c:delete val="1"/>
        <c:axPos val="b"/>
        <c:numFmt formatCode="General" sourceLinked="1"/>
        <c:majorTickMark val="out"/>
        <c:minorTickMark val="none"/>
        <c:tickLblPos val="nextTo"/>
        <c:crossAx val="581732312"/>
        <c:crossesAt val="0"/>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4255</TotalTime>
  <Pages>27</Pages>
  <Words>17923</Words>
  <Characters>102165</Characters>
  <Application>Microsoft Office Word</Application>
  <DocSecurity>0</DocSecurity>
  <Lines>851</Lines>
  <Paragraphs>239</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119849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Frison</dc:creator>
  <cp:keywords/>
  <dc:description/>
  <cp:lastModifiedBy>Luc Frison</cp:lastModifiedBy>
  <cp:revision>18</cp:revision>
  <dcterms:created xsi:type="dcterms:W3CDTF">2023-10-02T13:42:00Z</dcterms:created>
  <dcterms:modified xsi:type="dcterms:W3CDTF">2023-10-07T23:44:00Z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id="JuDgRC9W"/&gt;&lt;style id="http://www.zotero.org/styles/apa" locale="fr-FR"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