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75E67" w14:textId="77777777" w:rsidR="00236B47" w:rsidRPr="00D124EE" w:rsidRDefault="00236B47" w:rsidP="006F688F">
      <w:pPr>
        <w:contextualSpacing/>
        <w:jc w:val="center"/>
        <w:rPr>
          <w:sz w:val="48"/>
          <w:szCs w:val="48"/>
        </w:rPr>
      </w:pPr>
    </w:p>
    <w:p w14:paraId="363EEE93" w14:textId="58587989" w:rsidR="00222BF9" w:rsidRDefault="00236B47" w:rsidP="006F688F">
      <w:pPr>
        <w:contextualSpacing/>
        <w:jc w:val="center"/>
        <w:rPr>
          <w:b/>
          <w:bCs/>
          <w:sz w:val="48"/>
          <w:szCs w:val="48"/>
        </w:rPr>
      </w:pPr>
      <w:r w:rsidRPr="00D124EE">
        <w:rPr>
          <w:b/>
          <w:bCs/>
          <w:sz w:val="48"/>
          <w:szCs w:val="48"/>
        </w:rPr>
        <w:t>HSK Klubturnier 202</w:t>
      </w:r>
      <w:r w:rsidR="00D124EE">
        <w:rPr>
          <w:b/>
          <w:bCs/>
          <w:sz w:val="48"/>
          <w:szCs w:val="48"/>
        </w:rPr>
        <w:t>5</w:t>
      </w:r>
    </w:p>
    <w:p w14:paraId="14F19044" w14:textId="77777777" w:rsidR="006F0F70" w:rsidRPr="00D124EE" w:rsidRDefault="006F0F70" w:rsidP="006F688F">
      <w:pPr>
        <w:contextualSpacing/>
        <w:jc w:val="center"/>
        <w:rPr>
          <w:b/>
          <w:bCs/>
          <w:sz w:val="48"/>
          <w:szCs w:val="48"/>
        </w:rPr>
      </w:pPr>
    </w:p>
    <w:p w14:paraId="7120AE77" w14:textId="54D6E5FE" w:rsidR="00236B47" w:rsidRPr="00236B47" w:rsidRDefault="00236B47" w:rsidP="006F688F">
      <w:pPr>
        <w:contextualSpacing/>
      </w:pPr>
      <w:r w:rsidRPr="00236B47">
        <w:rPr>
          <w:b/>
          <w:bCs/>
        </w:rPr>
        <w:t xml:space="preserve">Veranstalter: </w:t>
      </w:r>
      <w:r w:rsidR="00222BF9">
        <w:rPr>
          <w:b/>
          <w:bCs/>
        </w:rPr>
        <w:tab/>
      </w:r>
      <w:r w:rsidRPr="00236B47">
        <w:t xml:space="preserve">Hamburger Schachklub von 1830 e. V. </w:t>
      </w:r>
    </w:p>
    <w:p w14:paraId="41F9D5FA" w14:textId="26F4CCAD" w:rsidR="00236B47" w:rsidRPr="00236B47" w:rsidRDefault="00222BF9" w:rsidP="006F688F">
      <w:pPr>
        <w:contextualSpacing/>
      </w:pPr>
      <w:r w:rsidRPr="001A3635">
        <w:rPr>
          <w:b/>
          <w:bCs/>
        </w:rPr>
        <w:t>Termin</w:t>
      </w:r>
      <w:r w:rsidR="001A3635">
        <w:t>:</w:t>
      </w:r>
      <w:r>
        <w:tab/>
      </w:r>
      <w:r>
        <w:tab/>
      </w:r>
      <w:r w:rsidR="00164E26">
        <w:t>16</w:t>
      </w:r>
      <w:r w:rsidR="00236B47" w:rsidRPr="00236B47">
        <w:t xml:space="preserve">.09. bis </w:t>
      </w:r>
      <w:r w:rsidR="00FD7446">
        <w:t>12</w:t>
      </w:r>
      <w:r w:rsidR="00236B47" w:rsidRPr="00236B47">
        <w:t>.12.20</w:t>
      </w:r>
      <w:r w:rsidR="00876E19">
        <w:t>25</w:t>
      </w:r>
      <w:r w:rsidR="00236B47" w:rsidRPr="00236B47">
        <w:t xml:space="preserve"> </w:t>
      </w:r>
    </w:p>
    <w:p w14:paraId="214E4648" w14:textId="5FDEC85E" w:rsidR="00236B47" w:rsidRPr="00236B47" w:rsidRDefault="00236B47" w:rsidP="006F688F">
      <w:pPr>
        <w:ind w:left="2124" w:hanging="2124"/>
        <w:contextualSpacing/>
      </w:pPr>
      <w:r w:rsidRPr="00236B47">
        <w:rPr>
          <w:b/>
          <w:bCs/>
        </w:rPr>
        <w:t xml:space="preserve">Teilnehmer: </w:t>
      </w:r>
      <w:r w:rsidR="00222BF9">
        <w:rPr>
          <w:b/>
          <w:bCs/>
        </w:rPr>
        <w:tab/>
      </w:r>
      <w:r w:rsidRPr="00236B47">
        <w:t xml:space="preserve">Offen für alle Mitglieder des Hamburger Schachklubs von 1830 e.V. und Gäste. </w:t>
      </w:r>
    </w:p>
    <w:p w14:paraId="1A5AEDA2" w14:textId="2A10C192" w:rsidR="00236B47" w:rsidRPr="00236B47" w:rsidRDefault="00236B47" w:rsidP="006F688F">
      <w:pPr>
        <w:ind w:left="2124" w:hanging="2124"/>
        <w:contextualSpacing/>
      </w:pPr>
      <w:r w:rsidRPr="00236B47">
        <w:rPr>
          <w:b/>
          <w:bCs/>
        </w:rPr>
        <w:t xml:space="preserve">Modus: </w:t>
      </w:r>
      <w:r w:rsidR="00D64ED1">
        <w:tab/>
      </w:r>
      <w:r w:rsidRPr="00236B47">
        <w:t xml:space="preserve">Gespielt wird im Rundensystem in fünf Spielklassen (A- bis E-Klasse) in Gruppen mit zehn (10) Teilnehmern. </w:t>
      </w:r>
    </w:p>
    <w:p w14:paraId="7A7B5DBD" w14:textId="5BE27967" w:rsidR="000163C5" w:rsidRPr="00236B47" w:rsidRDefault="00236B47" w:rsidP="00164E26">
      <w:pPr>
        <w:ind w:left="2124" w:hanging="2124"/>
        <w:contextualSpacing/>
      </w:pPr>
      <w:r w:rsidRPr="00236B47">
        <w:rPr>
          <w:b/>
          <w:bCs/>
        </w:rPr>
        <w:t xml:space="preserve">Bedenkzeit: </w:t>
      </w:r>
      <w:r w:rsidR="00492FEB">
        <w:tab/>
      </w:r>
      <w:r w:rsidR="009247D8">
        <w:t>90 min für</w:t>
      </w:r>
      <w:r w:rsidRPr="00236B47">
        <w:t xml:space="preserve"> </w:t>
      </w:r>
      <w:r w:rsidR="009247D8">
        <w:t>40 Züge, 30min für den Rest und 30 Sekunden pro Zug</w:t>
      </w:r>
    </w:p>
    <w:p w14:paraId="1BDD7B9D" w14:textId="1A58477A" w:rsidR="00236B47" w:rsidRPr="00236B47" w:rsidRDefault="00236B47" w:rsidP="000163C5">
      <w:pPr>
        <w:ind w:left="2120" w:hanging="2120"/>
        <w:contextualSpacing/>
        <w:rPr>
          <w:b/>
          <w:bCs/>
        </w:rPr>
      </w:pPr>
      <w:r w:rsidRPr="00236B47">
        <w:rPr>
          <w:b/>
          <w:bCs/>
        </w:rPr>
        <w:t>Gruppen:</w:t>
      </w:r>
      <w:r w:rsidR="000163C5">
        <w:rPr>
          <w:b/>
          <w:bCs/>
        </w:rPr>
        <w:tab/>
      </w:r>
      <w:r w:rsidRPr="00236B47">
        <w:t xml:space="preserve">Die Gruppeneinteilung erfolgt wie im Vorjahr anhand der DWZ, bei Punktgleichheit zählt die ELO. </w:t>
      </w:r>
    </w:p>
    <w:p w14:paraId="07D66738" w14:textId="489A8BD4" w:rsidR="00236B47" w:rsidRPr="00236B47" w:rsidRDefault="00236B47" w:rsidP="000163C5">
      <w:pPr>
        <w:ind w:left="2120" w:hanging="2120"/>
        <w:contextualSpacing/>
      </w:pPr>
      <w:r w:rsidRPr="00236B47">
        <w:rPr>
          <w:b/>
          <w:bCs/>
        </w:rPr>
        <w:t xml:space="preserve">Startgeld: </w:t>
      </w:r>
      <w:r w:rsidR="0026325D">
        <w:tab/>
      </w:r>
      <w:r w:rsidR="0026325D">
        <w:tab/>
      </w:r>
      <w:r w:rsidRPr="00236B47">
        <w:t>Mitglieder</w:t>
      </w:r>
      <w:r w:rsidR="000163C5">
        <w:t xml:space="preserve"> des HSK</w:t>
      </w:r>
      <w:r w:rsidRPr="00236B47">
        <w:t xml:space="preserve"> sind startgeldfrei. Gäste zahlen ein Startgeld von </w:t>
      </w:r>
      <w:r w:rsidR="009247D8">
        <w:t>6</w:t>
      </w:r>
      <w:r w:rsidR="000163C5">
        <w:t xml:space="preserve">0 </w:t>
      </w:r>
      <w:r w:rsidRPr="00236B47">
        <w:t xml:space="preserve">€. Das Startgeld ist vom Gastspieler vor Beginn des Klubturniers unter Angabe des Spielernamens und des Stichworts „HSK Klubturnier“ auf das Konto des HSK (Postbank Hamburg, IBAN DE64200100200397122207, BIC PBNKDEFF) zu überweisen. </w:t>
      </w:r>
    </w:p>
    <w:tbl>
      <w:tblPr>
        <w:tblStyle w:val="Tabellenraster"/>
        <w:tblpPr w:leftFromText="141" w:rightFromText="141" w:vertAnchor="text" w:horzAnchor="page" w:tblpX="3521" w:tblpY="359"/>
        <w:tblOverlap w:val="never"/>
        <w:tblW w:w="0" w:type="auto"/>
        <w:tblLook w:val="04A0" w:firstRow="1" w:lastRow="0" w:firstColumn="1" w:lastColumn="0" w:noHBand="0" w:noVBand="1"/>
      </w:tblPr>
      <w:tblGrid>
        <w:gridCol w:w="2038"/>
        <w:gridCol w:w="1915"/>
        <w:gridCol w:w="1916"/>
        <w:gridCol w:w="1916"/>
      </w:tblGrid>
      <w:tr w:rsidR="00940B40" w14:paraId="30FA8562" w14:textId="77777777" w:rsidTr="000119FA">
        <w:tc>
          <w:tcPr>
            <w:tcW w:w="2038" w:type="dxa"/>
          </w:tcPr>
          <w:p w14:paraId="3030EA66" w14:textId="77777777" w:rsidR="00940B40" w:rsidRDefault="00940B40" w:rsidP="00940B40">
            <w:pPr>
              <w:contextualSpacing/>
            </w:pPr>
            <w:r>
              <w:t>Runde</w:t>
            </w:r>
          </w:p>
        </w:tc>
        <w:tc>
          <w:tcPr>
            <w:tcW w:w="1915" w:type="dxa"/>
          </w:tcPr>
          <w:p w14:paraId="5F9D226B" w14:textId="77777777" w:rsidR="00940B40" w:rsidRDefault="00940B40" w:rsidP="00940B40">
            <w:pPr>
              <w:contextualSpacing/>
            </w:pPr>
            <w:r>
              <w:t>Dienstag</w:t>
            </w:r>
          </w:p>
        </w:tc>
        <w:tc>
          <w:tcPr>
            <w:tcW w:w="1916" w:type="dxa"/>
          </w:tcPr>
          <w:p w14:paraId="2A3E5B22" w14:textId="77777777" w:rsidR="00940B40" w:rsidRDefault="00940B40" w:rsidP="00940B40">
            <w:pPr>
              <w:contextualSpacing/>
            </w:pPr>
            <w:r>
              <w:t>Donnerstag</w:t>
            </w:r>
          </w:p>
        </w:tc>
        <w:tc>
          <w:tcPr>
            <w:tcW w:w="1916" w:type="dxa"/>
          </w:tcPr>
          <w:p w14:paraId="353AEF49" w14:textId="77777777" w:rsidR="00940B40" w:rsidRDefault="00940B40" w:rsidP="00940B40">
            <w:pPr>
              <w:contextualSpacing/>
            </w:pPr>
            <w:r>
              <w:t>Freitag</w:t>
            </w:r>
          </w:p>
        </w:tc>
      </w:tr>
      <w:tr w:rsidR="00940B40" w14:paraId="11A39132" w14:textId="77777777" w:rsidTr="000119FA">
        <w:tc>
          <w:tcPr>
            <w:tcW w:w="2038" w:type="dxa"/>
          </w:tcPr>
          <w:p w14:paraId="15DBCD7B" w14:textId="77777777" w:rsidR="00940B40" w:rsidRDefault="00940B40" w:rsidP="00940B40">
            <w:pPr>
              <w:contextualSpacing/>
            </w:pPr>
            <w:r>
              <w:t>1</w:t>
            </w:r>
          </w:p>
        </w:tc>
        <w:tc>
          <w:tcPr>
            <w:tcW w:w="1915" w:type="dxa"/>
          </w:tcPr>
          <w:p w14:paraId="2C66A919" w14:textId="77777777" w:rsidR="00940B40" w:rsidRDefault="00940B40" w:rsidP="00940B40">
            <w:pPr>
              <w:contextualSpacing/>
            </w:pPr>
            <w:r>
              <w:t>16.09.2025</w:t>
            </w:r>
          </w:p>
        </w:tc>
        <w:tc>
          <w:tcPr>
            <w:tcW w:w="1916" w:type="dxa"/>
          </w:tcPr>
          <w:p w14:paraId="7971ED82" w14:textId="77777777" w:rsidR="00940B40" w:rsidRDefault="00940B40" w:rsidP="00940B40">
            <w:pPr>
              <w:contextualSpacing/>
            </w:pPr>
            <w:r>
              <w:t>18.09.2025</w:t>
            </w:r>
          </w:p>
        </w:tc>
        <w:tc>
          <w:tcPr>
            <w:tcW w:w="1916" w:type="dxa"/>
          </w:tcPr>
          <w:p w14:paraId="22B194BB" w14:textId="77777777" w:rsidR="00940B40" w:rsidRDefault="00940B40" w:rsidP="00940B40">
            <w:pPr>
              <w:contextualSpacing/>
            </w:pPr>
            <w:r>
              <w:t>19.09.2025</w:t>
            </w:r>
          </w:p>
        </w:tc>
      </w:tr>
      <w:tr w:rsidR="00940B40" w14:paraId="51A32A83" w14:textId="77777777" w:rsidTr="000119FA">
        <w:tc>
          <w:tcPr>
            <w:tcW w:w="2038" w:type="dxa"/>
          </w:tcPr>
          <w:p w14:paraId="4B05D4AD" w14:textId="77777777" w:rsidR="00940B40" w:rsidRDefault="00940B40" w:rsidP="00940B40">
            <w:pPr>
              <w:contextualSpacing/>
            </w:pPr>
            <w:r>
              <w:t>2</w:t>
            </w:r>
          </w:p>
        </w:tc>
        <w:tc>
          <w:tcPr>
            <w:tcW w:w="1915" w:type="dxa"/>
          </w:tcPr>
          <w:p w14:paraId="39BCBC73" w14:textId="77777777" w:rsidR="00940B40" w:rsidRDefault="00940B40" w:rsidP="00940B40">
            <w:pPr>
              <w:contextualSpacing/>
            </w:pPr>
            <w:r>
              <w:t>23.09.2025</w:t>
            </w:r>
          </w:p>
        </w:tc>
        <w:tc>
          <w:tcPr>
            <w:tcW w:w="1916" w:type="dxa"/>
          </w:tcPr>
          <w:p w14:paraId="18966C2F" w14:textId="77777777" w:rsidR="00940B40" w:rsidRDefault="00940B40" w:rsidP="00940B40">
            <w:pPr>
              <w:contextualSpacing/>
            </w:pPr>
            <w:r>
              <w:t>25.09.2025</w:t>
            </w:r>
          </w:p>
        </w:tc>
        <w:tc>
          <w:tcPr>
            <w:tcW w:w="1916" w:type="dxa"/>
          </w:tcPr>
          <w:p w14:paraId="5DC109D5" w14:textId="77777777" w:rsidR="00940B40" w:rsidRDefault="00940B40" w:rsidP="00940B40">
            <w:pPr>
              <w:contextualSpacing/>
            </w:pPr>
            <w:r>
              <w:t>26.09.2025</w:t>
            </w:r>
          </w:p>
        </w:tc>
      </w:tr>
      <w:tr w:rsidR="00940B40" w14:paraId="3B082F86" w14:textId="77777777" w:rsidTr="000119FA">
        <w:tc>
          <w:tcPr>
            <w:tcW w:w="2038" w:type="dxa"/>
          </w:tcPr>
          <w:p w14:paraId="7BA2C046" w14:textId="60A3C46D" w:rsidR="00940B40" w:rsidRDefault="000119FA" w:rsidP="00940B40">
            <w:pPr>
              <w:contextualSpacing/>
            </w:pPr>
            <w:r>
              <w:t>Verlegungswoche</w:t>
            </w:r>
          </w:p>
        </w:tc>
        <w:tc>
          <w:tcPr>
            <w:tcW w:w="1915" w:type="dxa"/>
          </w:tcPr>
          <w:p w14:paraId="2DB731B8" w14:textId="77777777" w:rsidR="00940B40" w:rsidRDefault="00940B40" w:rsidP="00940B40">
            <w:pPr>
              <w:contextualSpacing/>
            </w:pPr>
            <w:r>
              <w:t>30.09.2025</w:t>
            </w:r>
          </w:p>
        </w:tc>
        <w:tc>
          <w:tcPr>
            <w:tcW w:w="1916" w:type="dxa"/>
          </w:tcPr>
          <w:p w14:paraId="67FB3616" w14:textId="77777777" w:rsidR="00940B40" w:rsidRDefault="00940B40" w:rsidP="00940B40">
            <w:pPr>
              <w:contextualSpacing/>
            </w:pPr>
            <w:r>
              <w:t>2.10.2025</w:t>
            </w:r>
          </w:p>
        </w:tc>
        <w:tc>
          <w:tcPr>
            <w:tcW w:w="1916" w:type="dxa"/>
          </w:tcPr>
          <w:p w14:paraId="2B56C675" w14:textId="3C1BA7EA" w:rsidR="00940B40" w:rsidRDefault="005429EB" w:rsidP="00940B40">
            <w:pPr>
              <w:contextualSpacing/>
            </w:pPr>
            <w:r>
              <w:t>Feiertag</w:t>
            </w:r>
            <w:r w:rsidR="00940B40">
              <w:t xml:space="preserve"> </w:t>
            </w:r>
          </w:p>
        </w:tc>
      </w:tr>
      <w:tr w:rsidR="00940B40" w14:paraId="33E87D74" w14:textId="77777777" w:rsidTr="000119FA">
        <w:tc>
          <w:tcPr>
            <w:tcW w:w="2038" w:type="dxa"/>
          </w:tcPr>
          <w:p w14:paraId="44140A49" w14:textId="77777777" w:rsidR="00940B40" w:rsidRDefault="00940B40" w:rsidP="00940B40">
            <w:pPr>
              <w:contextualSpacing/>
            </w:pPr>
            <w:r>
              <w:t>3</w:t>
            </w:r>
          </w:p>
        </w:tc>
        <w:tc>
          <w:tcPr>
            <w:tcW w:w="1915" w:type="dxa"/>
          </w:tcPr>
          <w:p w14:paraId="4FDB6DDB" w14:textId="77777777" w:rsidR="00940B40" w:rsidRDefault="00940B40" w:rsidP="00940B40">
            <w:pPr>
              <w:contextualSpacing/>
            </w:pPr>
            <w:r>
              <w:t>7.10.2025</w:t>
            </w:r>
          </w:p>
        </w:tc>
        <w:tc>
          <w:tcPr>
            <w:tcW w:w="1916" w:type="dxa"/>
          </w:tcPr>
          <w:p w14:paraId="30125482" w14:textId="77777777" w:rsidR="00940B40" w:rsidRDefault="00940B40" w:rsidP="00940B40">
            <w:pPr>
              <w:contextualSpacing/>
            </w:pPr>
            <w:r>
              <w:t>9.10.2025</w:t>
            </w:r>
          </w:p>
        </w:tc>
        <w:tc>
          <w:tcPr>
            <w:tcW w:w="1916" w:type="dxa"/>
          </w:tcPr>
          <w:p w14:paraId="4A40D2EC" w14:textId="77777777" w:rsidR="00940B40" w:rsidRDefault="00940B40" w:rsidP="00940B40">
            <w:pPr>
              <w:contextualSpacing/>
            </w:pPr>
            <w:r>
              <w:t>10.10.2025</w:t>
            </w:r>
          </w:p>
        </w:tc>
      </w:tr>
      <w:tr w:rsidR="00940B40" w14:paraId="5E42522B" w14:textId="77777777" w:rsidTr="000119FA">
        <w:tc>
          <w:tcPr>
            <w:tcW w:w="2038" w:type="dxa"/>
          </w:tcPr>
          <w:p w14:paraId="79219D2F" w14:textId="77777777" w:rsidR="00940B40" w:rsidRDefault="00940B40" w:rsidP="00940B40">
            <w:pPr>
              <w:contextualSpacing/>
            </w:pPr>
            <w:r>
              <w:t>4</w:t>
            </w:r>
          </w:p>
        </w:tc>
        <w:tc>
          <w:tcPr>
            <w:tcW w:w="1915" w:type="dxa"/>
          </w:tcPr>
          <w:p w14:paraId="1998104F" w14:textId="77777777" w:rsidR="00940B40" w:rsidRDefault="00940B40" w:rsidP="00940B40">
            <w:pPr>
              <w:contextualSpacing/>
            </w:pPr>
            <w:r>
              <w:t>14.10.2025</w:t>
            </w:r>
          </w:p>
        </w:tc>
        <w:tc>
          <w:tcPr>
            <w:tcW w:w="1916" w:type="dxa"/>
          </w:tcPr>
          <w:p w14:paraId="79B66077" w14:textId="77777777" w:rsidR="00940B40" w:rsidRDefault="00940B40" w:rsidP="00940B40">
            <w:pPr>
              <w:contextualSpacing/>
            </w:pPr>
            <w:r>
              <w:t>16.10.2025</w:t>
            </w:r>
          </w:p>
        </w:tc>
        <w:tc>
          <w:tcPr>
            <w:tcW w:w="1916" w:type="dxa"/>
          </w:tcPr>
          <w:p w14:paraId="649FB727" w14:textId="77777777" w:rsidR="00940B40" w:rsidRDefault="00940B40" w:rsidP="00940B40">
            <w:pPr>
              <w:contextualSpacing/>
            </w:pPr>
            <w:r>
              <w:t>17.10.2025</w:t>
            </w:r>
          </w:p>
        </w:tc>
      </w:tr>
      <w:tr w:rsidR="000119FA" w14:paraId="192AB987" w14:textId="77777777" w:rsidTr="000119FA">
        <w:tc>
          <w:tcPr>
            <w:tcW w:w="2038" w:type="dxa"/>
          </w:tcPr>
          <w:p w14:paraId="31573741" w14:textId="7B7F5344" w:rsidR="000119FA" w:rsidRDefault="000119FA" w:rsidP="000119FA">
            <w:pPr>
              <w:contextualSpacing/>
            </w:pPr>
            <w:r>
              <w:t>Verlegungswoche</w:t>
            </w:r>
          </w:p>
        </w:tc>
        <w:tc>
          <w:tcPr>
            <w:tcW w:w="1915" w:type="dxa"/>
          </w:tcPr>
          <w:p w14:paraId="79EF8736" w14:textId="77777777" w:rsidR="000119FA" w:rsidRDefault="000119FA" w:rsidP="000119FA">
            <w:pPr>
              <w:contextualSpacing/>
            </w:pPr>
            <w:r>
              <w:t>21.10.2025</w:t>
            </w:r>
          </w:p>
        </w:tc>
        <w:tc>
          <w:tcPr>
            <w:tcW w:w="1916" w:type="dxa"/>
          </w:tcPr>
          <w:p w14:paraId="75231135" w14:textId="77777777" w:rsidR="000119FA" w:rsidRDefault="000119FA" w:rsidP="000119FA">
            <w:pPr>
              <w:contextualSpacing/>
            </w:pPr>
            <w:r>
              <w:t>23.10.2025</w:t>
            </w:r>
          </w:p>
        </w:tc>
        <w:tc>
          <w:tcPr>
            <w:tcW w:w="1916" w:type="dxa"/>
          </w:tcPr>
          <w:p w14:paraId="5D58225A" w14:textId="77777777" w:rsidR="000119FA" w:rsidRDefault="000119FA" w:rsidP="000119FA">
            <w:pPr>
              <w:contextualSpacing/>
            </w:pPr>
            <w:r>
              <w:t>24.10.2025</w:t>
            </w:r>
          </w:p>
        </w:tc>
      </w:tr>
      <w:tr w:rsidR="000119FA" w14:paraId="39935C9C" w14:textId="77777777" w:rsidTr="000119FA">
        <w:tc>
          <w:tcPr>
            <w:tcW w:w="2038" w:type="dxa"/>
          </w:tcPr>
          <w:p w14:paraId="171C39ED" w14:textId="003092EF" w:rsidR="000119FA" w:rsidRDefault="000119FA" w:rsidP="000119FA">
            <w:pPr>
              <w:contextualSpacing/>
            </w:pPr>
            <w:r>
              <w:t>Verlegungswoche</w:t>
            </w:r>
          </w:p>
        </w:tc>
        <w:tc>
          <w:tcPr>
            <w:tcW w:w="1915" w:type="dxa"/>
          </w:tcPr>
          <w:p w14:paraId="30E6F052" w14:textId="77777777" w:rsidR="000119FA" w:rsidRDefault="000119FA" w:rsidP="000119FA">
            <w:pPr>
              <w:contextualSpacing/>
            </w:pPr>
            <w:r>
              <w:t>28.10.2025</w:t>
            </w:r>
          </w:p>
        </w:tc>
        <w:tc>
          <w:tcPr>
            <w:tcW w:w="1916" w:type="dxa"/>
          </w:tcPr>
          <w:p w14:paraId="269E4E9C" w14:textId="77777777" w:rsidR="000119FA" w:rsidRDefault="000119FA" w:rsidP="000119FA">
            <w:pPr>
              <w:contextualSpacing/>
            </w:pPr>
            <w:r>
              <w:t>30.10.2025</w:t>
            </w:r>
          </w:p>
        </w:tc>
        <w:tc>
          <w:tcPr>
            <w:tcW w:w="1916" w:type="dxa"/>
          </w:tcPr>
          <w:p w14:paraId="223A81D4" w14:textId="766929F0" w:rsidR="000119FA" w:rsidRDefault="000119FA" w:rsidP="000119FA">
            <w:pPr>
              <w:contextualSpacing/>
            </w:pPr>
            <w:r>
              <w:t>Feiertag</w:t>
            </w:r>
          </w:p>
        </w:tc>
      </w:tr>
      <w:tr w:rsidR="00940B40" w14:paraId="552456A2" w14:textId="77777777" w:rsidTr="000119FA">
        <w:tc>
          <w:tcPr>
            <w:tcW w:w="2038" w:type="dxa"/>
          </w:tcPr>
          <w:p w14:paraId="6554A828" w14:textId="77777777" w:rsidR="00940B40" w:rsidRDefault="00940B40" w:rsidP="00940B40">
            <w:pPr>
              <w:contextualSpacing/>
            </w:pPr>
            <w:r>
              <w:t>5</w:t>
            </w:r>
          </w:p>
        </w:tc>
        <w:tc>
          <w:tcPr>
            <w:tcW w:w="1915" w:type="dxa"/>
          </w:tcPr>
          <w:p w14:paraId="7BC3FE6A" w14:textId="77777777" w:rsidR="00940B40" w:rsidRDefault="00940B40" w:rsidP="00940B40">
            <w:pPr>
              <w:contextualSpacing/>
            </w:pPr>
            <w:r>
              <w:t>4.11.2025</w:t>
            </w:r>
          </w:p>
        </w:tc>
        <w:tc>
          <w:tcPr>
            <w:tcW w:w="1916" w:type="dxa"/>
          </w:tcPr>
          <w:p w14:paraId="29041A53" w14:textId="77777777" w:rsidR="00940B40" w:rsidRDefault="00940B40" w:rsidP="00940B40">
            <w:pPr>
              <w:contextualSpacing/>
            </w:pPr>
            <w:r>
              <w:t>6.11.2025</w:t>
            </w:r>
          </w:p>
        </w:tc>
        <w:tc>
          <w:tcPr>
            <w:tcW w:w="1916" w:type="dxa"/>
          </w:tcPr>
          <w:p w14:paraId="1D72B8B2" w14:textId="77777777" w:rsidR="00940B40" w:rsidRDefault="00940B40" w:rsidP="00940B40">
            <w:pPr>
              <w:contextualSpacing/>
            </w:pPr>
            <w:r>
              <w:t>7.11.2025</w:t>
            </w:r>
          </w:p>
        </w:tc>
      </w:tr>
      <w:tr w:rsidR="00940B40" w14:paraId="302ABD68" w14:textId="77777777" w:rsidTr="000119FA">
        <w:tc>
          <w:tcPr>
            <w:tcW w:w="2038" w:type="dxa"/>
          </w:tcPr>
          <w:p w14:paraId="6E1C7A1D" w14:textId="77777777" w:rsidR="00940B40" w:rsidRDefault="00940B40" w:rsidP="00940B40">
            <w:pPr>
              <w:contextualSpacing/>
            </w:pPr>
            <w:r>
              <w:t>6</w:t>
            </w:r>
          </w:p>
        </w:tc>
        <w:tc>
          <w:tcPr>
            <w:tcW w:w="1915" w:type="dxa"/>
          </w:tcPr>
          <w:p w14:paraId="55858EA3" w14:textId="77777777" w:rsidR="00940B40" w:rsidRDefault="00940B40" w:rsidP="00940B40">
            <w:pPr>
              <w:contextualSpacing/>
            </w:pPr>
            <w:r>
              <w:t>11.11.2025</w:t>
            </w:r>
          </w:p>
        </w:tc>
        <w:tc>
          <w:tcPr>
            <w:tcW w:w="1916" w:type="dxa"/>
          </w:tcPr>
          <w:p w14:paraId="7FBDF6D3" w14:textId="77777777" w:rsidR="00940B40" w:rsidRDefault="00940B40" w:rsidP="00940B40">
            <w:pPr>
              <w:contextualSpacing/>
            </w:pPr>
            <w:r>
              <w:t>13.11.2025</w:t>
            </w:r>
          </w:p>
        </w:tc>
        <w:tc>
          <w:tcPr>
            <w:tcW w:w="1916" w:type="dxa"/>
          </w:tcPr>
          <w:p w14:paraId="35B30745" w14:textId="77777777" w:rsidR="00940B40" w:rsidRDefault="00940B40" w:rsidP="00940B40">
            <w:pPr>
              <w:contextualSpacing/>
            </w:pPr>
            <w:r>
              <w:t>14.11.2025</w:t>
            </w:r>
          </w:p>
        </w:tc>
      </w:tr>
      <w:tr w:rsidR="00940B40" w14:paraId="0CDDEECF" w14:textId="77777777" w:rsidTr="000119FA">
        <w:tc>
          <w:tcPr>
            <w:tcW w:w="2038" w:type="dxa"/>
          </w:tcPr>
          <w:p w14:paraId="72B1025D" w14:textId="77777777" w:rsidR="00940B40" w:rsidRDefault="00940B40" w:rsidP="00940B40">
            <w:pPr>
              <w:contextualSpacing/>
            </w:pPr>
            <w:r>
              <w:t>7</w:t>
            </w:r>
          </w:p>
        </w:tc>
        <w:tc>
          <w:tcPr>
            <w:tcW w:w="1915" w:type="dxa"/>
          </w:tcPr>
          <w:p w14:paraId="0BB4A3D9" w14:textId="77777777" w:rsidR="00940B40" w:rsidRDefault="00940B40" w:rsidP="00940B40">
            <w:pPr>
              <w:contextualSpacing/>
            </w:pPr>
            <w:r>
              <w:t>18.11.2025</w:t>
            </w:r>
          </w:p>
        </w:tc>
        <w:tc>
          <w:tcPr>
            <w:tcW w:w="1916" w:type="dxa"/>
          </w:tcPr>
          <w:p w14:paraId="2BFE6B43" w14:textId="77777777" w:rsidR="00940B40" w:rsidRDefault="00940B40" w:rsidP="00940B40">
            <w:pPr>
              <w:contextualSpacing/>
            </w:pPr>
            <w:r>
              <w:t>20.11.2025</w:t>
            </w:r>
          </w:p>
        </w:tc>
        <w:tc>
          <w:tcPr>
            <w:tcW w:w="1916" w:type="dxa"/>
          </w:tcPr>
          <w:p w14:paraId="5A65C25A" w14:textId="77777777" w:rsidR="00940B40" w:rsidRDefault="00940B40" w:rsidP="00940B40">
            <w:pPr>
              <w:contextualSpacing/>
            </w:pPr>
            <w:r>
              <w:t>21.11.2025</w:t>
            </w:r>
          </w:p>
        </w:tc>
      </w:tr>
      <w:tr w:rsidR="000119FA" w14:paraId="735A3609" w14:textId="77777777" w:rsidTr="000119FA">
        <w:tc>
          <w:tcPr>
            <w:tcW w:w="2038" w:type="dxa"/>
          </w:tcPr>
          <w:p w14:paraId="391F3532" w14:textId="12A65D95" w:rsidR="000119FA" w:rsidRDefault="000119FA" w:rsidP="000119FA">
            <w:pPr>
              <w:contextualSpacing/>
            </w:pPr>
            <w:r>
              <w:t>Verlegungswoche</w:t>
            </w:r>
          </w:p>
        </w:tc>
        <w:tc>
          <w:tcPr>
            <w:tcW w:w="1915" w:type="dxa"/>
          </w:tcPr>
          <w:p w14:paraId="7D488944" w14:textId="77777777" w:rsidR="000119FA" w:rsidRDefault="000119FA" w:rsidP="000119FA">
            <w:pPr>
              <w:contextualSpacing/>
            </w:pPr>
            <w:r>
              <w:t>25.11.2025</w:t>
            </w:r>
          </w:p>
        </w:tc>
        <w:tc>
          <w:tcPr>
            <w:tcW w:w="1916" w:type="dxa"/>
          </w:tcPr>
          <w:p w14:paraId="62C6E831" w14:textId="77777777" w:rsidR="000119FA" w:rsidRDefault="000119FA" w:rsidP="000119FA">
            <w:pPr>
              <w:contextualSpacing/>
            </w:pPr>
            <w:r>
              <w:t>27.11.2025</w:t>
            </w:r>
          </w:p>
        </w:tc>
        <w:tc>
          <w:tcPr>
            <w:tcW w:w="1916" w:type="dxa"/>
          </w:tcPr>
          <w:p w14:paraId="03C68EA0" w14:textId="77777777" w:rsidR="000119FA" w:rsidRDefault="000119FA" w:rsidP="000119FA">
            <w:pPr>
              <w:contextualSpacing/>
            </w:pPr>
            <w:r>
              <w:t>28.11.2025</w:t>
            </w:r>
          </w:p>
        </w:tc>
      </w:tr>
      <w:tr w:rsidR="00940B40" w14:paraId="513CA4B6" w14:textId="77777777" w:rsidTr="000119FA">
        <w:tc>
          <w:tcPr>
            <w:tcW w:w="2038" w:type="dxa"/>
          </w:tcPr>
          <w:p w14:paraId="66D7F406" w14:textId="77777777" w:rsidR="00940B40" w:rsidRDefault="00940B40" w:rsidP="00940B40">
            <w:pPr>
              <w:contextualSpacing/>
            </w:pPr>
            <w:r>
              <w:t>8</w:t>
            </w:r>
          </w:p>
        </w:tc>
        <w:tc>
          <w:tcPr>
            <w:tcW w:w="1915" w:type="dxa"/>
          </w:tcPr>
          <w:p w14:paraId="05B974A8" w14:textId="77777777" w:rsidR="00940B40" w:rsidRDefault="00940B40" w:rsidP="00940B40">
            <w:pPr>
              <w:contextualSpacing/>
            </w:pPr>
            <w:r>
              <w:t>02.12.2025</w:t>
            </w:r>
          </w:p>
        </w:tc>
        <w:tc>
          <w:tcPr>
            <w:tcW w:w="1916" w:type="dxa"/>
          </w:tcPr>
          <w:p w14:paraId="36BD08C7" w14:textId="77777777" w:rsidR="00940B40" w:rsidRDefault="00940B40" w:rsidP="00940B40">
            <w:pPr>
              <w:contextualSpacing/>
            </w:pPr>
            <w:r>
              <w:t>04.12.2025</w:t>
            </w:r>
          </w:p>
        </w:tc>
        <w:tc>
          <w:tcPr>
            <w:tcW w:w="1916" w:type="dxa"/>
          </w:tcPr>
          <w:p w14:paraId="0D069988" w14:textId="77777777" w:rsidR="00940B40" w:rsidRDefault="00940B40" w:rsidP="00940B40">
            <w:pPr>
              <w:contextualSpacing/>
            </w:pPr>
            <w:r>
              <w:t>05.12.2025</w:t>
            </w:r>
          </w:p>
        </w:tc>
      </w:tr>
      <w:tr w:rsidR="00940B40" w14:paraId="75532AAF" w14:textId="77777777" w:rsidTr="000119FA">
        <w:tc>
          <w:tcPr>
            <w:tcW w:w="2038" w:type="dxa"/>
          </w:tcPr>
          <w:p w14:paraId="1E87BDB3" w14:textId="77777777" w:rsidR="00940B40" w:rsidRDefault="00940B40" w:rsidP="00940B40">
            <w:pPr>
              <w:contextualSpacing/>
            </w:pPr>
            <w:r>
              <w:t>9</w:t>
            </w:r>
          </w:p>
        </w:tc>
        <w:tc>
          <w:tcPr>
            <w:tcW w:w="1915" w:type="dxa"/>
          </w:tcPr>
          <w:p w14:paraId="58853EDD" w14:textId="77777777" w:rsidR="00940B40" w:rsidRDefault="00940B40" w:rsidP="00940B40">
            <w:pPr>
              <w:contextualSpacing/>
            </w:pPr>
            <w:r>
              <w:t>09.12.2025</w:t>
            </w:r>
          </w:p>
        </w:tc>
        <w:tc>
          <w:tcPr>
            <w:tcW w:w="1916" w:type="dxa"/>
          </w:tcPr>
          <w:p w14:paraId="0AC97F07" w14:textId="77777777" w:rsidR="00940B40" w:rsidRDefault="00940B40" w:rsidP="00940B40">
            <w:pPr>
              <w:contextualSpacing/>
            </w:pPr>
            <w:r>
              <w:t>11.12.2025</w:t>
            </w:r>
          </w:p>
        </w:tc>
        <w:tc>
          <w:tcPr>
            <w:tcW w:w="1916" w:type="dxa"/>
          </w:tcPr>
          <w:p w14:paraId="6F1AE1BE" w14:textId="77777777" w:rsidR="00940B40" w:rsidRDefault="00940B40" w:rsidP="00940B40">
            <w:pPr>
              <w:contextualSpacing/>
            </w:pPr>
            <w:r>
              <w:t>12.12.2025</w:t>
            </w:r>
          </w:p>
        </w:tc>
      </w:tr>
    </w:tbl>
    <w:p w14:paraId="02B2BC10" w14:textId="77777777" w:rsidR="00301F0C" w:rsidRDefault="00301F0C" w:rsidP="006F688F">
      <w:pPr>
        <w:contextualSpacing/>
        <w:rPr>
          <w:b/>
          <w:bCs/>
        </w:rPr>
      </w:pPr>
    </w:p>
    <w:p w14:paraId="0FB1B1BB" w14:textId="76BA4B56" w:rsidR="00D53FDB" w:rsidRPr="00C67128" w:rsidRDefault="00236B47" w:rsidP="006F688F">
      <w:pPr>
        <w:contextualSpacing/>
      </w:pPr>
      <w:r w:rsidRPr="00236B47">
        <w:rPr>
          <w:b/>
          <w:bCs/>
        </w:rPr>
        <w:t xml:space="preserve">Zeitplan: </w:t>
      </w:r>
    </w:p>
    <w:p w14:paraId="7A0E4D15" w14:textId="77777777" w:rsidR="00CE01DA" w:rsidRDefault="00CE01DA" w:rsidP="006F688F">
      <w:pPr>
        <w:contextualSpacing/>
      </w:pPr>
    </w:p>
    <w:p w14:paraId="22C930F3" w14:textId="77777777" w:rsidR="006F688F" w:rsidRDefault="006F688F" w:rsidP="006F688F">
      <w:pPr>
        <w:contextualSpacing/>
      </w:pPr>
    </w:p>
    <w:p w14:paraId="6ED94F50" w14:textId="77777777" w:rsidR="00940B40" w:rsidRDefault="00940B40" w:rsidP="006F688F">
      <w:pPr>
        <w:contextualSpacing/>
      </w:pPr>
    </w:p>
    <w:p w14:paraId="106900F0" w14:textId="77777777" w:rsidR="00940B40" w:rsidRDefault="00940B40" w:rsidP="006F688F">
      <w:pPr>
        <w:contextualSpacing/>
      </w:pPr>
    </w:p>
    <w:p w14:paraId="1DA9201D" w14:textId="77777777" w:rsidR="00940B40" w:rsidRDefault="00940B40" w:rsidP="006F688F">
      <w:pPr>
        <w:contextualSpacing/>
      </w:pPr>
    </w:p>
    <w:p w14:paraId="7E00A5CD" w14:textId="77777777" w:rsidR="00940B40" w:rsidRDefault="00940B40" w:rsidP="006F688F">
      <w:pPr>
        <w:contextualSpacing/>
      </w:pPr>
    </w:p>
    <w:p w14:paraId="7BB397B1" w14:textId="77777777" w:rsidR="00940B40" w:rsidRDefault="00940B40" w:rsidP="006F688F">
      <w:pPr>
        <w:contextualSpacing/>
      </w:pPr>
    </w:p>
    <w:p w14:paraId="3785D078" w14:textId="77777777" w:rsidR="00940B40" w:rsidRDefault="00940B40" w:rsidP="006F688F">
      <w:pPr>
        <w:contextualSpacing/>
      </w:pPr>
    </w:p>
    <w:p w14:paraId="1D1EB306" w14:textId="77777777" w:rsidR="00940B40" w:rsidRDefault="00940B40" w:rsidP="006F688F">
      <w:pPr>
        <w:contextualSpacing/>
      </w:pPr>
    </w:p>
    <w:p w14:paraId="08617AF5" w14:textId="77777777" w:rsidR="00940B40" w:rsidRDefault="00940B40" w:rsidP="006F688F">
      <w:pPr>
        <w:contextualSpacing/>
      </w:pPr>
    </w:p>
    <w:p w14:paraId="62AEB4C3" w14:textId="77777777" w:rsidR="00940B40" w:rsidRDefault="00940B40" w:rsidP="006F688F">
      <w:pPr>
        <w:contextualSpacing/>
      </w:pPr>
    </w:p>
    <w:p w14:paraId="79FFA4D2" w14:textId="77777777" w:rsidR="00940B40" w:rsidRDefault="00940B40" w:rsidP="006F688F">
      <w:pPr>
        <w:contextualSpacing/>
      </w:pPr>
    </w:p>
    <w:p w14:paraId="7395CA1B" w14:textId="77777777" w:rsidR="00940B40" w:rsidRDefault="00940B40" w:rsidP="006F688F">
      <w:pPr>
        <w:contextualSpacing/>
      </w:pPr>
    </w:p>
    <w:p w14:paraId="0129846E" w14:textId="236CFEDD" w:rsidR="00940B40" w:rsidRDefault="00940B40" w:rsidP="00940B40">
      <w:pPr>
        <w:ind w:left="2124"/>
        <w:contextualSpacing/>
      </w:pPr>
      <w:r w:rsidRPr="00C67128">
        <w:t xml:space="preserve">Verlegungen sind in den </w:t>
      </w:r>
      <w:r w:rsidR="008D1895">
        <w:t>vier</w:t>
      </w:r>
      <w:r w:rsidRPr="00C67128">
        <w:t xml:space="preserve"> Verlegungswochen sowie an Dienstagen und Donnerstagen möglich. A- und B-Gruppen können stattdessen ihre Partien auf Dienstage und Freitage verlegen.</w:t>
      </w:r>
      <w:r w:rsidR="000119FA">
        <w:t xml:space="preserve"> An Feiertagen kann nicht gespielt werden. </w:t>
      </w:r>
    </w:p>
    <w:p w14:paraId="54C9FC5A" w14:textId="77777777" w:rsidR="00940B40" w:rsidRDefault="00940B40" w:rsidP="006F688F">
      <w:pPr>
        <w:contextualSpacing/>
      </w:pPr>
    </w:p>
    <w:p w14:paraId="2850825C" w14:textId="77777777" w:rsidR="00940B40" w:rsidRDefault="00940B40" w:rsidP="006F688F">
      <w:pPr>
        <w:contextualSpacing/>
      </w:pPr>
    </w:p>
    <w:p w14:paraId="0E80FC97" w14:textId="77777777" w:rsidR="00D17843" w:rsidRDefault="00D17843" w:rsidP="006F688F">
      <w:pPr>
        <w:contextualSpacing/>
      </w:pPr>
    </w:p>
    <w:tbl>
      <w:tblPr>
        <w:tblW w:w="10228" w:type="dxa"/>
        <w:tblInd w:w="-168" w:type="dxa"/>
        <w:tblLayout w:type="fixed"/>
        <w:tblLook w:val="0000" w:firstRow="0" w:lastRow="0" w:firstColumn="0" w:lastColumn="0" w:noHBand="0" w:noVBand="0"/>
      </w:tblPr>
      <w:tblGrid>
        <w:gridCol w:w="2290"/>
        <w:gridCol w:w="7938"/>
      </w:tblGrid>
      <w:tr w:rsidR="00C67128" w:rsidRPr="00C67128" w14:paraId="358BBE63" w14:textId="77777777" w:rsidTr="00D17843">
        <w:trPr>
          <w:trHeight w:val="372"/>
        </w:trPr>
        <w:tc>
          <w:tcPr>
            <w:tcW w:w="2290" w:type="dxa"/>
          </w:tcPr>
          <w:p w14:paraId="7B5FD088" w14:textId="77777777" w:rsidR="00C67128" w:rsidRPr="00C67128" w:rsidRDefault="00C67128" w:rsidP="006F688F">
            <w:pPr>
              <w:contextualSpacing/>
            </w:pPr>
            <w:r w:rsidRPr="00C67128">
              <w:rPr>
                <w:b/>
                <w:bCs/>
              </w:rPr>
              <w:t xml:space="preserve">Auswertungen: </w:t>
            </w:r>
          </w:p>
        </w:tc>
        <w:tc>
          <w:tcPr>
            <w:tcW w:w="7938" w:type="dxa"/>
          </w:tcPr>
          <w:p w14:paraId="2C369C0F" w14:textId="638F2980" w:rsidR="00C67128" w:rsidRDefault="00C67128" w:rsidP="006F688F">
            <w:pPr>
              <w:contextualSpacing/>
            </w:pPr>
            <w:r w:rsidRPr="00C67128">
              <w:t>Die A- und B-Klassen werden nach ELO und DWZ ausgewertet. In den anderen Klassen erfolgt eine DWZ-Auswertung. In einer ELO ausgewerteten Gruppe kann nur teilnehmen, wer eine FIDE-Identifikationsnummer hat</w:t>
            </w:r>
            <w:r w:rsidR="00C45FCC">
              <w:t xml:space="preserve"> und diese bei der Anmeldung angibt</w:t>
            </w:r>
            <w:r w:rsidRPr="00C67128">
              <w:t xml:space="preserve">. </w:t>
            </w:r>
          </w:p>
          <w:p w14:paraId="25CFF236" w14:textId="77777777" w:rsidR="00A90C2C" w:rsidRPr="00C67128" w:rsidRDefault="00A90C2C" w:rsidP="006F688F">
            <w:pPr>
              <w:contextualSpacing/>
            </w:pPr>
          </w:p>
        </w:tc>
      </w:tr>
      <w:tr w:rsidR="00C67128" w:rsidRPr="00C67128" w14:paraId="03215E37" w14:textId="77777777" w:rsidTr="00D17843">
        <w:trPr>
          <w:trHeight w:val="636"/>
        </w:trPr>
        <w:tc>
          <w:tcPr>
            <w:tcW w:w="2290" w:type="dxa"/>
          </w:tcPr>
          <w:p w14:paraId="4D139B5B" w14:textId="77777777" w:rsidR="00C67128" w:rsidRPr="00C67128" w:rsidRDefault="00C67128" w:rsidP="006F688F">
            <w:pPr>
              <w:contextualSpacing/>
            </w:pPr>
            <w:r w:rsidRPr="00C67128">
              <w:rPr>
                <w:b/>
                <w:bCs/>
              </w:rPr>
              <w:t xml:space="preserve">Siegerehrung / Preise: </w:t>
            </w:r>
          </w:p>
        </w:tc>
        <w:tc>
          <w:tcPr>
            <w:tcW w:w="7938" w:type="dxa"/>
          </w:tcPr>
          <w:p w14:paraId="19287BA0" w14:textId="69C116AB" w:rsidR="00C67128" w:rsidRDefault="00C67128" w:rsidP="006F688F">
            <w:pPr>
              <w:contextualSpacing/>
            </w:pPr>
            <w:r w:rsidRPr="00C67128">
              <w:t xml:space="preserve">Alle Gruppensieger erhalten eine Urkunde. </w:t>
            </w:r>
            <w:r w:rsidR="00E50EB7" w:rsidRPr="00C67128">
              <w:t>HSK-Mitglieder</w:t>
            </w:r>
            <w:r w:rsidRPr="00C67128">
              <w:t xml:space="preserve"> als Sieger der A-Klasse erhalten das Startgeld für ein IM-Turnier erstattet. Gäste als Sieger der A-Klasse können kostenlos an einem TOP-Training der Schachschule Hamburg teilnehmen. Preisträger erhalten ihren Preis auf der </w:t>
            </w:r>
            <w:r w:rsidR="00505C16" w:rsidRPr="00C67128">
              <w:t>HSK-Weihnachtsfeier</w:t>
            </w:r>
            <w:r w:rsidRPr="00C67128">
              <w:t xml:space="preserve">, wenn möglich. Weitere Preise können während des Turniers bekannt gegeben werden. </w:t>
            </w:r>
          </w:p>
          <w:p w14:paraId="043BBF2A" w14:textId="77777777" w:rsidR="00A90C2C" w:rsidRPr="00C67128" w:rsidRDefault="00A90C2C" w:rsidP="006F688F">
            <w:pPr>
              <w:contextualSpacing/>
            </w:pPr>
          </w:p>
        </w:tc>
      </w:tr>
      <w:tr w:rsidR="00C67128" w:rsidRPr="00C67128" w14:paraId="3D2061BF" w14:textId="77777777" w:rsidTr="00D17843">
        <w:trPr>
          <w:trHeight w:val="241"/>
        </w:trPr>
        <w:tc>
          <w:tcPr>
            <w:tcW w:w="2290" w:type="dxa"/>
          </w:tcPr>
          <w:p w14:paraId="3228210C" w14:textId="77777777" w:rsidR="00C67128" w:rsidRPr="00C67128" w:rsidRDefault="00C67128" w:rsidP="006F688F">
            <w:pPr>
              <w:contextualSpacing/>
            </w:pPr>
            <w:r w:rsidRPr="00C67128">
              <w:rPr>
                <w:b/>
                <w:bCs/>
              </w:rPr>
              <w:t xml:space="preserve">Turnierleitung / Schiedsrichter: </w:t>
            </w:r>
          </w:p>
        </w:tc>
        <w:tc>
          <w:tcPr>
            <w:tcW w:w="7938" w:type="dxa"/>
          </w:tcPr>
          <w:p w14:paraId="6EAB1BC7" w14:textId="77777777" w:rsidR="00C67128" w:rsidRDefault="00A90C2C" w:rsidP="006F688F">
            <w:pPr>
              <w:contextualSpacing/>
            </w:pPr>
            <w:r>
              <w:t>Kai Müller</w:t>
            </w:r>
            <w:r w:rsidR="00C67128" w:rsidRPr="00C67128">
              <w:t xml:space="preserve">, Arne Alpers und </w:t>
            </w:r>
            <w:r>
              <w:t xml:space="preserve">Arend Bothe </w:t>
            </w:r>
            <w:r w:rsidR="00C67128" w:rsidRPr="00C67128">
              <w:t xml:space="preserve">(klubturnier@hsk1830.de) bilden die Turnierleitung. Die Schiedsrichter werden vor Turnierbeginn ernannt. </w:t>
            </w:r>
          </w:p>
          <w:p w14:paraId="4888A4A0" w14:textId="5FFE048E" w:rsidR="00A90C2C" w:rsidRPr="00C67128" w:rsidRDefault="00A90C2C" w:rsidP="006F688F">
            <w:pPr>
              <w:contextualSpacing/>
            </w:pPr>
          </w:p>
        </w:tc>
      </w:tr>
      <w:tr w:rsidR="00C67128" w:rsidRPr="00C67128" w14:paraId="0DD7BCBA" w14:textId="77777777" w:rsidTr="001A3635">
        <w:trPr>
          <w:trHeight w:val="2307"/>
        </w:trPr>
        <w:tc>
          <w:tcPr>
            <w:tcW w:w="2290" w:type="dxa"/>
          </w:tcPr>
          <w:p w14:paraId="1E52AB24" w14:textId="77777777" w:rsidR="00C67128" w:rsidRPr="00C67128" w:rsidRDefault="00C67128" w:rsidP="006F688F">
            <w:pPr>
              <w:contextualSpacing/>
            </w:pPr>
            <w:r w:rsidRPr="00C67128">
              <w:rPr>
                <w:b/>
                <w:bCs/>
              </w:rPr>
              <w:t xml:space="preserve">Kontakt / </w:t>
            </w:r>
          </w:p>
          <w:p w14:paraId="647C33E1" w14:textId="77777777" w:rsidR="00C67128" w:rsidRPr="00C67128" w:rsidRDefault="00C67128" w:rsidP="006F688F">
            <w:pPr>
              <w:contextualSpacing/>
            </w:pPr>
            <w:r w:rsidRPr="00C67128">
              <w:rPr>
                <w:b/>
                <w:bCs/>
              </w:rPr>
              <w:t xml:space="preserve">Anmeldung: </w:t>
            </w:r>
          </w:p>
        </w:tc>
        <w:tc>
          <w:tcPr>
            <w:tcW w:w="7938" w:type="dxa"/>
          </w:tcPr>
          <w:p w14:paraId="6772195B" w14:textId="1B48DA63" w:rsidR="00C67128" w:rsidRDefault="00C67128" w:rsidP="006F688F">
            <w:pPr>
              <w:contextualSpacing/>
            </w:pPr>
            <w:r w:rsidRPr="00C67128">
              <w:t>Zum Klubturnier muss sich ein Teilnehmer anmelden.</w:t>
            </w:r>
            <w:r w:rsidR="00D17843" w:rsidRPr="00C67128">
              <w:t xml:space="preserve"> </w:t>
            </w:r>
            <w:r w:rsidR="00D17843" w:rsidRPr="00C67128">
              <w:t xml:space="preserve">Die Anmeldung erfolgt für alle Inhaber einer gültigen Mail-Adresse auf der HSK-Internetseite </w:t>
            </w:r>
            <w:hyperlink r:id="rId7" w:history="1">
              <w:r w:rsidR="001A3635" w:rsidRPr="001A3635">
                <w:rPr>
                  <w:rStyle w:val="Hyperlink"/>
                </w:rPr>
                <w:t>https://</w:t>
              </w:r>
              <w:r w:rsidR="00D17843" w:rsidRPr="001A3635">
                <w:rPr>
                  <w:rStyle w:val="Hyperlink"/>
                </w:rPr>
                <w:t>klubturnier.hsk1830.de</w:t>
              </w:r>
            </w:hyperlink>
            <w:r w:rsidR="00D17843">
              <w:t>.</w:t>
            </w:r>
            <w:r w:rsidRPr="00C67128">
              <w:t xml:space="preserve"> </w:t>
            </w:r>
            <w:r w:rsidRPr="00505C16">
              <w:t xml:space="preserve">Die Anmeldefrist endet am </w:t>
            </w:r>
            <w:r w:rsidR="00505C16" w:rsidRPr="00505C16">
              <w:rPr>
                <w:b/>
                <w:bCs/>
              </w:rPr>
              <w:t>31.08.2025</w:t>
            </w:r>
            <w:r w:rsidR="00A90C2C">
              <w:rPr>
                <w:b/>
                <w:bCs/>
              </w:rPr>
              <w:t>.</w:t>
            </w:r>
            <w:r w:rsidRPr="00C67128">
              <w:rPr>
                <w:b/>
                <w:bCs/>
              </w:rPr>
              <w:t xml:space="preserve"> </w:t>
            </w:r>
            <w:r w:rsidRPr="00C67128">
              <w:t xml:space="preserve">Verspätete Anmeldungen können von der Turnierleitung berücksichtigt werden, garantieren aber keinen Startplatz. </w:t>
            </w:r>
          </w:p>
          <w:p w14:paraId="0BDF3A99" w14:textId="04F4AD07" w:rsidR="00D91FAE" w:rsidRPr="00C67128" w:rsidRDefault="00D91FAE" w:rsidP="006F688F">
            <w:pPr>
              <w:contextualSpacing/>
            </w:pPr>
          </w:p>
        </w:tc>
      </w:tr>
      <w:tr w:rsidR="00C67128" w:rsidRPr="00C67128" w14:paraId="1218DD0E" w14:textId="77777777" w:rsidTr="00D17843">
        <w:trPr>
          <w:trHeight w:val="57"/>
        </w:trPr>
        <w:tc>
          <w:tcPr>
            <w:tcW w:w="2290" w:type="dxa"/>
          </w:tcPr>
          <w:p w14:paraId="286FE771" w14:textId="3080435D" w:rsidR="00C67128" w:rsidRPr="00C67128" w:rsidRDefault="00C67128" w:rsidP="006F688F">
            <w:pPr>
              <w:contextualSpacing/>
            </w:pPr>
            <w:r w:rsidRPr="00C67128">
              <w:rPr>
                <w:b/>
                <w:bCs/>
              </w:rPr>
              <w:t xml:space="preserve">Haftungsausschluss: </w:t>
            </w:r>
          </w:p>
        </w:tc>
        <w:tc>
          <w:tcPr>
            <w:tcW w:w="7938" w:type="dxa"/>
          </w:tcPr>
          <w:p w14:paraId="6F073F31" w14:textId="7E68FF47" w:rsidR="00D17843" w:rsidRDefault="00C67128" w:rsidP="006F688F">
            <w:pPr>
              <w:contextualSpacing/>
            </w:pPr>
            <w:r w:rsidRPr="00C67128">
              <w:t>Die Teilnahme und der Besuch erfolgen auf eigenes Risiko. Der Hamburger Schachklub von 1830 e.V. übernimmt keinerlei Haftung. Bei Turnierabbruch durch höhere Gewalt wird lediglich das Startgeld zurückgezahlt</w:t>
            </w:r>
            <w:r w:rsidR="00D17843">
              <w:t>.</w:t>
            </w:r>
          </w:p>
          <w:p w14:paraId="6E8F7B51" w14:textId="77777777" w:rsidR="00D17843" w:rsidRDefault="00D17843" w:rsidP="006F688F">
            <w:pPr>
              <w:contextualSpacing/>
              <w:rPr>
                <w:sz w:val="2"/>
                <w:szCs w:val="2"/>
              </w:rPr>
            </w:pPr>
          </w:p>
          <w:p w14:paraId="483F809B" w14:textId="77777777" w:rsidR="00D17843" w:rsidRPr="00D17843" w:rsidRDefault="00D17843" w:rsidP="006F688F">
            <w:pPr>
              <w:contextualSpacing/>
              <w:rPr>
                <w:sz w:val="2"/>
                <w:szCs w:val="2"/>
              </w:rPr>
            </w:pPr>
          </w:p>
          <w:p w14:paraId="66DFDCEC" w14:textId="77777777" w:rsidR="00D17843" w:rsidRDefault="00D17843" w:rsidP="006F688F">
            <w:pPr>
              <w:contextualSpacing/>
              <w:rPr>
                <w:sz w:val="2"/>
                <w:szCs w:val="2"/>
              </w:rPr>
            </w:pPr>
          </w:p>
          <w:p w14:paraId="552B571D" w14:textId="77777777" w:rsidR="00D17843" w:rsidRDefault="00D17843" w:rsidP="006F688F">
            <w:pPr>
              <w:contextualSpacing/>
              <w:rPr>
                <w:sz w:val="2"/>
                <w:szCs w:val="2"/>
              </w:rPr>
            </w:pPr>
          </w:p>
          <w:p w14:paraId="46813C9B" w14:textId="77777777" w:rsidR="00D17843" w:rsidRDefault="00D17843" w:rsidP="006F688F">
            <w:pPr>
              <w:contextualSpacing/>
              <w:rPr>
                <w:sz w:val="2"/>
                <w:szCs w:val="2"/>
              </w:rPr>
            </w:pPr>
          </w:p>
          <w:p w14:paraId="796F64A9" w14:textId="77777777" w:rsidR="00D17843" w:rsidRDefault="00D17843" w:rsidP="006F688F">
            <w:pPr>
              <w:contextualSpacing/>
              <w:rPr>
                <w:sz w:val="2"/>
                <w:szCs w:val="2"/>
              </w:rPr>
            </w:pPr>
          </w:p>
          <w:p w14:paraId="5A7128E8" w14:textId="77777777" w:rsidR="00D17843" w:rsidRDefault="00D17843" w:rsidP="006F688F">
            <w:pPr>
              <w:contextualSpacing/>
              <w:rPr>
                <w:sz w:val="2"/>
                <w:szCs w:val="2"/>
              </w:rPr>
            </w:pPr>
          </w:p>
          <w:p w14:paraId="751223D3" w14:textId="77777777" w:rsidR="00D17843" w:rsidRDefault="00D17843" w:rsidP="006F688F">
            <w:pPr>
              <w:contextualSpacing/>
              <w:rPr>
                <w:sz w:val="2"/>
                <w:szCs w:val="2"/>
              </w:rPr>
            </w:pPr>
          </w:p>
          <w:p w14:paraId="02FA6631" w14:textId="77777777" w:rsidR="00D17843" w:rsidRDefault="00D17843" w:rsidP="006F688F">
            <w:pPr>
              <w:contextualSpacing/>
              <w:rPr>
                <w:sz w:val="2"/>
                <w:szCs w:val="2"/>
              </w:rPr>
            </w:pPr>
          </w:p>
          <w:p w14:paraId="3AB855A5" w14:textId="77777777" w:rsidR="00D17843" w:rsidRDefault="00D17843" w:rsidP="006F688F">
            <w:pPr>
              <w:contextualSpacing/>
              <w:rPr>
                <w:sz w:val="2"/>
                <w:szCs w:val="2"/>
              </w:rPr>
            </w:pPr>
          </w:p>
          <w:p w14:paraId="29CE1AEE" w14:textId="77777777" w:rsidR="00D17843" w:rsidRDefault="00D17843" w:rsidP="006F688F">
            <w:pPr>
              <w:contextualSpacing/>
              <w:rPr>
                <w:sz w:val="2"/>
                <w:szCs w:val="2"/>
              </w:rPr>
            </w:pPr>
          </w:p>
          <w:p w14:paraId="109CC1ED" w14:textId="77777777" w:rsidR="00D17843" w:rsidRDefault="00D17843" w:rsidP="006F688F">
            <w:pPr>
              <w:contextualSpacing/>
              <w:rPr>
                <w:sz w:val="2"/>
                <w:szCs w:val="2"/>
              </w:rPr>
            </w:pPr>
          </w:p>
          <w:p w14:paraId="67982620" w14:textId="77777777" w:rsidR="00D17843" w:rsidRDefault="00D17843" w:rsidP="006F688F">
            <w:pPr>
              <w:contextualSpacing/>
              <w:rPr>
                <w:sz w:val="2"/>
                <w:szCs w:val="2"/>
              </w:rPr>
            </w:pPr>
          </w:p>
          <w:p w14:paraId="1674CC48" w14:textId="77777777" w:rsidR="00D17843" w:rsidRDefault="00D17843" w:rsidP="006F688F">
            <w:pPr>
              <w:contextualSpacing/>
              <w:rPr>
                <w:sz w:val="2"/>
                <w:szCs w:val="2"/>
              </w:rPr>
            </w:pPr>
          </w:p>
          <w:p w14:paraId="7FE1E9A4" w14:textId="77777777" w:rsidR="00D17843" w:rsidRDefault="00D17843" w:rsidP="006F688F">
            <w:pPr>
              <w:contextualSpacing/>
              <w:rPr>
                <w:sz w:val="2"/>
                <w:szCs w:val="2"/>
              </w:rPr>
            </w:pPr>
          </w:p>
          <w:p w14:paraId="12AF31ED" w14:textId="77777777" w:rsidR="00D17843" w:rsidRPr="00D17843" w:rsidRDefault="00D17843" w:rsidP="006F688F">
            <w:pPr>
              <w:contextualSpacing/>
              <w:rPr>
                <w:sz w:val="2"/>
                <w:szCs w:val="2"/>
              </w:rPr>
            </w:pPr>
          </w:p>
          <w:p w14:paraId="2696597A" w14:textId="77777777" w:rsidR="00D17843" w:rsidRDefault="00D17843" w:rsidP="006F688F">
            <w:pPr>
              <w:contextualSpacing/>
              <w:rPr>
                <w:sz w:val="2"/>
                <w:szCs w:val="2"/>
              </w:rPr>
            </w:pPr>
          </w:p>
          <w:p w14:paraId="680E928B" w14:textId="12557349" w:rsidR="00D17843" w:rsidRPr="00D17843" w:rsidRDefault="00D17843" w:rsidP="006F688F">
            <w:pPr>
              <w:contextualSpacing/>
              <w:rPr>
                <w:sz w:val="2"/>
                <w:szCs w:val="2"/>
              </w:rPr>
            </w:pPr>
          </w:p>
        </w:tc>
      </w:tr>
    </w:tbl>
    <w:p w14:paraId="6D821060" w14:textId="77777777" w:rsidR="00C67128" w:rsidRPr="00236B47" w:rsidRDefault="00C67128" w:rsidP="00D17843">
      <w:pPr>
        <w:contextualSpacing/>
      </w:pPr>
    </w:p>
    <w:sectPr w:rsidR="00C67128" w:rsidRPr="00236B47" w:rsidSect="00D17843">
      <w:headerReference w:type="default" r:id="rId8"/>
      <w:type w:val="continuous"/>
      <w:pgSz w:w="11906" w:h="16838"/>
      <w:pgMar w:top="1985" w:right="1418" w:bottom="1134" w:left="141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9C44B" w14:textId="77777777" w:rsidR="00BA2545" w:rsidRDefault="00BA2545" w:rsidP="00D64ED1">
      <w:pPr>
        <w:spacing w:after="0" w:line="240" w:lineRule="auto"/>
      </w:pPr>
      <w:r>
        <w:separator/>
      </w:r>
    </w:p>
  </w:endnote>
  <w:endnote w:type="continuationSeparator" w:id="0">
    <w:p w14:paraId="06996D39" w14:textId="77777777" w:rsidR="00BA2545" w:rsidRDefault="00BA2545" w:rsidP="00D64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38779" w14:textId="77777777" w:rsidR="00BA2545" w:rsidRDefault="00BA2545" w:rsidP="00D64ED1">
      <w:pPr>
        <w:spacing w:after="0" w:line="240" w:lineRule="auto"/>
      </w:pPr>
      <w:r>
        <w:separator/>
      </w:r>
    </w:p>
  </w:footnote>
  <w:footnote w:type="continuationSeparator" w:id="0">
    <w:p w14:paraId="2C5C44FF" w14:textId="77777777" w:rsidR="00BA2545" w:rsidRDefault="00BA2545" w:rsidP="00D64E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2199EC" w14:textId="71926005" w:rsidR="00D124EE" w:rsidRDefault="00D124EE">
    <w:pPr>
      <w:pStyle w:val="Kopfzeile"/>
    </w:pPr>
    <w:r w:rsidRPr="00D124EE">
      <w:rPr>
        <w:noProof/>
      </w:rPr>
      <w:drawing>
        <wp:anchor distT="0" distB="0" distL="114300" distR="114300" simplePos="0" relativeHeight="251658240" behindDoc="1" locked="0" layoutInCell="1" allowOverlap="1" wp14:anchorId="086A30D0" wp14:editId="4E79266B">
          <wp:simplePos x="0" y="0"/>
          <wp:positionH relativeFrom="page">
            <wp:align>left</wp:align>
          </wp:positionH>
          <wp:positionV relativeFrom="paragraph">
            <wp:posOffset>-436880</wp:posOffset>
          </wp:positionV>
          <wp:extent cx="7842663" cy="1231900"/>
          <wp:effectExtent l="0" t="0" r="6350" b="6350"/>
          <wp:wrapNone/>
          <wp:docPr id="2144268928"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68828" name="Grafik 1" descr="Ein Bild, das Text, Schrift, Screenshot enthält.&#10;&#10;KI-generierte Inhalte können fehlerhaft sein."/>
                  <pic:cNvPicPr/>
                </pic:nvPicPr>
                <pic:blipFill>
                  <a:blip r:embed="rId1">
                    <a:extLst>
                      <a:ext uri="{28A0092B-C50C-407E-A947-70E740481C1C}">
                        <a14:useLocalDpi xmlns:a14="http://schemas.microsoft.com/office/drawing/2010/main" val="0"/>
                      </a:ext>
                    </a:extLst>
                  </a:blip>
                  <a:stretch>
                    <a:fillRect/>
                  </a:stretch>
                </pic:blipFill>
                <pic:spPr>
                  <a:xfrm>
                    <a:off x="0" y="0"/>
                    <a:ext cx="7842663" cy="1231900"/>
                  </a:xfrm>
                  <a:prstGeom prst="rect">
                    <a:avLst/>
                  </a:prstGeom>
                </pic:spPr>
              </pic:pic>
            </a:graphicData>
          </a:graphic>
          <wp14:sizeRelH relativeFrom="page">
            <wp14:pctWidth>0</wp14:pctWidth>
          </wp14:sizeRelH>
          <wp14:sizeRelV relativeFrom="page">
            <wp14:pctHeight>0</wp14:pctHeight>
          </wp14:sizeRelV>
        </wp:anchor>
      </w:drawing>
    </w:r>
  </w:p>
  <w:p w14:paraId="0FBAF85E" w14:textId="77777777" w:rsidR="00D124EE" w:rsidRDefault="00D124E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65"/>
    <w:rsid w:val="000119FA"/>
    <w:rsid w:val="000163C5"/>
    <w:rsid w:val="0003033A"/>
    <w:rsid w:val="00052F6D"/>
    <w:rsid w:val="00164E26"/>
    <w:rsid w:val="001A3635"/>
    <w:rsid w:val="00222BF9"/>
    <w:rsid w:val="00236B47"/>
    <w:rsid w:val="0026325D"/>
    <w:rsid w:val="003001B7"/>
    <w:rsid w:val="00301F0C"/>
    <w:rsid w:val="003B08E3"/>
    <w:rsid w:val="00492FEB"/>
    <w:rsid w:val="004A26B5"/>
    <w:rsid w:val="00505C16"/>
    <w:rsid w:val="005429EB"/>
    <w:rsid w:val="00691467"/>
    <w:rsid w:val="00696F6A"/>
    <w:rsid w:val="006F0F70"/>
    <w:rsid w:val="006F688F"/>
    <w:rsid w:val="00852480"/>
    <w:rsid w:val="00876E19"/>
    <w:rsid w:val="008D1895"/>
    <w:rsid w:val="008E3D57"/>
    <w:rsid w:val="008F0CE6"/>
    <w:rsid w:val="009247D8"/>
    <w:rsid w:val="009259C4"/>
    <w:rsid w:val="00940B40"/>
    <w:rsid w:val="00955650"/>
    <w:rsid w:val="00A174E0"/>
    <w:rsid w:val="00A2227E"/>
    <w:rsid w:val="00A85ABB"/>
    <w:rsid w:val="00A90C2C"/>
    <w:rsid w:val="00AF2965"/>
    <w:rsid w:val="00B34CCC"/>
    <w:rsid w:val="00B7779E"/>
    <w:rsid w:val="00BA2545"/>
    <w:rsid w:val="00BF3F5C"/>
    <w:rsid w:val="00C45FCC"/>
    <w:rsid w:val="00C67128"/>
    <w:rsid w:val="00CE01DA"/>
    <w:rsid w:val="00D124EE"/>
    <w:rsid w:val="00D17843"/>
    <w:rsid w:val="00D53FDB"/>
    <w:rsid w:val="00D64ED1"/>
    <w:rsid w:val="00D91FAE"/>
    <w:rsid w:val="00DC00A4"/>
    <w:rsid w:val="00E50EB7"/>
    <w:rsid w:val="00FD74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D7AC3"/>
  <w15:chartTrackingRefBased/>
  <w15:docId w15:val="{716C2201-3D57-4F5E-A2B2-1FD131C6E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F2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F2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F296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F296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F296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F296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F296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F296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F296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F296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F296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F296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F296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F296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F296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F296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F296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F2965"/>
    <w:rPr>
      <w:rFonts w:eastAsiaTheme="majorEastAsia" w:cstheme="majorBidi"/>
      <w:color w:val="272727" w:themeColor="text1" w:themeTint="D8"/>
    </w:rPr>
  </w:style>
  <w:style w:type="paragraph" w:styleId="Titel">
    <w:name w:val="Title"/>
    <w:basedOn w:val="Standard"/>
    <w:next w:val="Standard"/>
    <w:link w:val="TitelZchn"/>
    <w:uiPriority w:val="10"/>
    <w:qFormat/>
    <w:rsid w:val="00AF2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F296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F296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F296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F296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F2965"/>
    <w:rPr>
      <w:i/>
      <w:iCs/>
      <w:color w:val="404040" w:themeColor="text1" w:themeTint="BF"/>
    </w:rPr>
  </w:style>
  <w:style w:type="paragraph" w:styleId="Listenabsatz">
    <w:name w:val="List Paragraph"/>
    <w:basedOn w:val="Standard"/>
    <w:uiPriority w:val="34"/>
    <w:qFormat/>
    <w:rsid w:val="00AF2965"/>
    <w:pPr>
      <w:ind w:left="720"/>
      <w:contextualSpacing/>
    </w:pPr>
  </w:style>
  <w:style w:type="character" w:styleId="IntensiveHervorhebung">
    <w:name w:val="Intense Emphasis"/>
    <w:basedOn w:val="Absatz-Standardschriftart"/>
    <w:uiPriority w:val="21"/>
    <w:qFormat/>
    <w:rsid w:val="00AF2965"/>
    <w:rPr>
      <w:i/>
      <w:iCs/>
      <w:color w:val="0F4761" w:themeColor="accent1" w:themeShade="BF"/>
    </w:rPr>
  </w:style>
  <w:style w:type="paragraph" w:styleId="IntensivesZitat">
    <w:name w:val="Intense Quote"/>
    <w:basedOn w:val="Standard"/>
    <w:next w:val="Standard"/>
    <w:link w:val="IntensivesZitatZchn"/>
    <w:uiPriority w:val="30"/>
    <w:qFormat/>
    <w:rsid w:val="00AF2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F2965"/>
    <w:rPr>
      <w:i/>
      <w:iCs/>
      <w:color w:val="0F4761" w:themeColor="accent1" w:themeShade="BF"/>
    </w:rPr>
  </w:style>
  <w:style w:type="character" w:styleId="IntensiverVerweis">
    <w:name w:val="Intense Reference"/>
    <w:basedOn w:val="Absatz-Standardschriftart"/>
    <w:uiPriority w:val="32"/>
    <w:qFormat/>
    <w:rsid w:val="00AF2965"/>
    <w:rPr>
      <w:b/>
      <w:bCs/>
      <w:smallCaps/>
      <w:color w:val="0F4761" w:themeColor="accent1" w:themeShade="BF"/>
      <w:spacing w:val="5"/>
    </w:rPr>
  </w:style>
  <w:style w:type="paragraph" w:styleId="Kopfzeile">
    <w:name w:val="header"/>
    <w:basedOn w:val="Standard"/>
    <w:link w:val="KopfzeileZchn"/>
    <w:uiPriority w:val="99"/>
    <w:unhideWhenUsed/>
    <w:rsid w:val="00D64ED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4ED1"/>
  </w:style>
  <w:style w:type="paragraph" w:styleId="Fuzeile">
    <w:name w:val="footer"/>
    <w:basedOn w:val="Standard"/>
    <w:link w:val="FuzeileZchn"/>
    <w:uiPriority w:val="99"/>
    <w:unhideWhenUsed/>
    <w:rsid w:val="00D64ED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4ED1"/>
  </w:style>
  <w:style w:type="table" w:styleId="Tabellenraster">
    <w:name w:val="Table Grid"/>
    <w:basedOn w:val="NormaleTabelle"/>
    <w:uiPriority w:val="39"/>
    <w:rsid w:val="00A222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1A3635"/>
    <w:rPr>
      <w:color w:val="467886" w:themeColor="hyperlink"/>
      <w:u w:val="single"/>
    </w:rPr>
  </w:style>
  <w:style w:type="character" w:styleId="NichtaufgelsteErwhnung">
    <w:name w:val="Unresolved Mention"/>
    <w:basedOn w:val="Absatz-Standardschriftart"/>
    <w:uiPriority w:val="99"/>
    <w:semiHidden/>
    <w:unhideWhenUsed/>
    <w:rsid w:val="001A36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klubturnier.hsk1830.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E9E89-FB2F-7844-9656-20589FCB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2688</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Müller</dc:creator>
  <cp:keywords/>
  <dc:description/>
  <cp:lastModifiedBy>Arne Alpers</cp:lastModifiedBy>
  <cp:revision>3</cp:revision>
  <cp:lastPrinted>2025-06-27T17:04:00Z</cp:lastPrinted>
  <dcterms:created xsi:type="dcterms:W3CDTF">2025-07-13T16:48:00Z</dcterms:created>
  <dcterms:modified xsi:type="dcterms:W3CDTF">2025-07-13T17:01:00Z</dcterms:modified>
</cp:coreProperties>
</file>