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Selected Patient ID is:  O , age is between:  16+ years  old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Relevant Biomarkers (out of 42):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1226820"/>
            <wp:effectExtent l="0" t="0" r="0" b="0"/>
            <wp:wrapSquare wrapText="largest"/>
            <wp:docPr id="1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6190"/>
            <wp:effectExtent l="0" t="0" r="0" b="0"/>
            <wp:wrapSquare wrapText="largest"/>
            <wp:docPr id="2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27305</wp:posOffset>
            </wp:positionH>
            <wp:positionV relativeFrom="paragraph">
              <wp:posOffset>1365885</wp:posOffset>
            </wp:positionV>
            <wp:extent cx="6120130" cy="5562600"/>
            <wp:effectExtent l="0" t="0" r="0" b="0"/>
            <wp:wrapSquare wrapText="largest"/>
            <wp:docPr id="3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9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44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235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-6985</wp:posOffset>
            </wp:positionH>
            <wp:positionV relativeFrom="paragraph">
              <wp:posOffset>3736340</wp:posOffset>
            </wp:positionV>
            <wp:extent cx="4629785" cy="455041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Interpretation 1:</w:t>
      </w:r>
      <w:r>
        <w:rPr>
          <w:b w:val="false"/>
          <w:bCs w:val="false"/>
        </w:rPr>
        <w:t xml:space="preserve"> ARG</w:t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Interpretation 2</w:t>
      </w:r>
      <w:r>
        <w:rPr>
          <w:b w:val="false"/>
          <w:bCs w:val="false"/>
        </w:rPr>
        <w:t xml:space="preserve">: </w:t>
      </w: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Hypophosphatasia, </w:t>
      </w:r>
      <w:r>
        <w:rPr>
          <w:rFonts w:eastAsia="Noto Sans CJK SC" w:cs="Lohit Devanagari"/>
          <w:b w:val="false"/>
          <w:bCs w:val="false"/>
          <w:i w:val="false"/>
          <w:strike w:val="false"/>
          <w:dstrike w:val="false"/>
          <w:outline w:val="false"/>
          <w:shadow w:val="false"/>
          <w:color w:val="auto"/>
          <w:kern w:val="2"/>
          <w:sz w:val="24"/>
          <w:szCs w:val="24"/>
          <w:u w:val="none"/>
          <w:em w:val="none"/>
          <w:lang w:val="en-US" w:eastAsia="zh-CN" w:bidi="hi-IN"/>
        </w:rPr>
        <w:t>Other metabolites due tubular dysfunction.</w:t>
      </w:r>
    </w:p>
    <w:p>
      <w:pPr>
        <w:pStyle w:val="Normal"/>
        <w:rPr>
          <w:i w:val="false"/>
          <w:i w:val="false"/>
          <w:strike w:val="false"/>
          <w:dstrike w:val="false"/>
          <w:outline w:val="false"/>
          <w:shadow w:val="false"/>
          <w:u w:val="none"/>
          <w:em w:val="none"/>
        </w:rPr>
      </w:pPr>
      <w:r>
        <w:rPr>
          <w:rFonts w:eastAsia="Noto Sans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rPr>
          <w:rFonts w:ascii="Liberation Serif" w:hAnsi="Liberation Serif" w:eastAsia="Noto Sans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 w:val="false"/>
          <w:i w:val="false"/>
          <w:strike w:val="false"/>
          <w:dstrike w:val="false"/>
          <w:outline w:val="false"/>
          <w:shadow w:val="false"/>
          <w:color w:val="auto"/>
          <w:kern w:val="2"/>
          <w:sz w:val="24"/>
          <w:szCs w:val="24"/>
          <w:u w:val="none"/>
          <w:em w:val="none"/>
          <w:lang w:val="en-US" w:eastAsia="zh-CN" w:bidi="hi-IN"/>
        </w:rPr>
        <w:t>Final conclusion: Difficult to diagnose, Cycle between arginine, arginosuccinate and ornithine are scewing the expected biomarker pattern. Raised arginine (higher than ornithine) is unexpected for this disorder .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Selected Patient ID is:  R , age is between:  5 to 16 years  old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Relevant Biomarkers (out of 43):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41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-6985</wp:posOffset>
            </wp:positionH>
            <wp:positionV relativeFrom="paragraph">
              <wp:posOffset>1292225</wp:posOffset>
            </wp:positionV>
            <wp:extent cx="6120130" cy="126365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531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*</w:t>
      </w:r>
      <w:r>
        <w:rPr>
          <w:b w:val="false"/>
          <w:bCs w:val="false"/>
        </w:rPr>
        <w:t>**Note that phosphoethanolamine, the biomarker with the highest change, is not part of the top 3 pathways.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-287020</wp:posOffset>
            </wp:positionH>
            <wp:positionV relativeFrom="paragraph">
              <wp:posOffset>47625</wp:posOffset>
            </wp:positionV>
            <wp:extent cx="3686810" cy="346011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3326765</wp:posOffset>
            </wp:positionH>
            <wp:positionV relativeFrom="paragraph">
              <wp:posOffset>319405</wp:posOffset>
            </wp:positionV>
            <wp:extent cx="3141345" cy="278892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-82550</wp:posOffset>
            </wp:positionH>
            <wp:positionV relativeFrom="paragraph">
              <wp:posOffset>635</wp:posOffset>
            </wp:positionV>
            <wp:extent cx="3972560" cy="333438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56515</wp:posOffset>
            </wp:positionH>
            <wp:positionV relativeFrom="paragraph">
              <wp:posOffset>635</wp:posOffset>
            </wp:positionV>
            <wp:extent cx="4333240" cy="376618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69215</wp:posOffset>
            </wp:positionH>
            <wp:positionV relativeFrom="paragraph">
              <wp:posOffset>128905</wp:posOffset>
            </wp:positionV>
            <wp:extent cx="4455795" cy="326771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222250</wp:posOffset>
            </wp:positionH>
            <wp:positionV relativeFrom="paragraph">
              <wp:posOffset>-51435</wp:posOffset>
            </wp:positionV>
            <wp:extent cx="3705225" cy="532765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Interpretation 1:</w:t>
      </w:r>
      <w:r>
        <w:rPr>
          <w:b w:val="false"/>
          <w:bCs w:val="false"/>
        </w:rPr>
        <w:t xml:space="preserve"> OTC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Interpretation 2:</w:t>
      </w:r>
      <w:r>
        <w:rPr>
          <w:b w:val="false"/>
          <w:bCs w:val="false"/>
        </w:rPr>
        <w:t xml:space="preserve"> Hypophosphatasia, other metabolites due tubular dysfunction.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Final conclusion: Indicative for OTC, requires more testing. OTC has a “tail” of biomarkers which are altered in the pyrimidine de novo part.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Selected Patient ID is:  S , age is between:  5 to 16 years  old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Relevant Biomarkers (out of 36):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746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41275</wp:posOffset>
            </wp:positionH>
            <wp:positionV relativeFrom="paragraph">
              <wp:posOffset>1266825</wp:posOffset>
            </wp:positionV>
            <wp:extent cx="6120130" cy="121920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864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087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17145</wp:posOffset>
            </wp:positionH>
            <wp:positionV relativeFrom="paragraph">
              <wp:posOffset>109220</wp:posOffset>
            </wp:positionV>
            <wp:extent cx="2645410" cy="274574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2724785</wp:posOffset>
            </wp:positionH>
            <wp:positionV relativeFrom="paragraph">
              <wp:posOffset>93345</wp:posOffset>
            </wp:positionV>
            <wp:extent cx="3726815" cy="222059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66675</wp:posOffset>
            </wp:positionH>
            <wp:positionV relativeFrom="paragraph">
              <wp:posOffset>27940</wp:posOffset>
            </wp:positionV>
            <wp:extent cx="5647690" cy="215138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2750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4370070</wp:posOffset>
            </wp:positionV>
            <wp:extent cx="6120130" cy="226758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Interpretation 1:</w:t>
      </w:r>
      <w:r>
        <w:rPr>
          <w:b w:val="false"/>
          <w:bCs w:val="false"/>
        </w:rPr>
        <w:t xml:space="preserve"> OTC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t>Interpretation 2:</w:t>
      </w:r>
      <w:r>
        <w:rPr>
          <w:b w:val="false"/>
          <w:bCs w:val="false"/>
        </w:rPr>
        <w:t xml:space="preserve"> Hypophosphatasia, other metabolites due tubular dysfunction.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Final conclusion: Indicative for OTC, requires more testing (plasma measurement). Phosphoethanolamine seems to be a potential biomarker for this and previous OTC cases; however unclear molecular origin. 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Selected Patient ID is:  T , age is between:  5 to 16 years  old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Relevant Biomarkers (out of 32):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5080"/>
            <wp:effectExtent l="0" t="0" r="0" b="0"/>
            <wp:wrapSquare wrapText="largest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26820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47625</wp:posOffset>
            </wp:positionH>
            <wp:positionV relativeFrom="paragraph">
              <wp:posOffset>1412875</wp:posOffset>
            </wp:positionV>
            <wp:extent cx="6120130" cy="6120130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9290"/>
            <wp:effectExtent l="0" t="0" r="0" b="0"/>
            <wp:wrapSquare wrapText="largest"/>
            <wp:docPr id="30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3237230</wp:posOffset>
            </wp:positionH>
            <wp:positionV relativeFrom="paragraph">
              <wp:posOffset>770255</wp:posOffset>
            </wp:positionV>
            <wp:extent cx="3320415" cy="283972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84455</wp:posOffset>
            </wp:positionH>
            <wp:positionV relativeFrom="paragraph">
              <wp:posOffset>122555</wp:posOffset>
            </wp:positionV>
            <wp:extent cx="3053715" cy="2473960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100330</wp:posOffset>
            </wp:positionH>
            <wp:positionV relativeFrom="paragraph">
              <wp:posOffset>85090</wp:posOffset>
            </wp:positionV>
            <wp:extent cx="2992120" cy="2683510"/>
            <wp:effectExtent l="0" t="0" r="0" b="0"/>
            <wp:wrapSquare wrapText="largest"/>
            <wp:docPr id="3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0520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3111500</wp:posOffset>
            </wp:positionH>
            <wp:positionV relativeFrom="paragraph">
              <wp:posOffset>160020</wp:posOffset>
            </wp:positionV>
            <wp:extent cx="3728085" cy="2894330"/>
            <wp:effectExtent l="0" t="0" r="0" b="0"/>
            <wp:wrapSquare wrapText="largest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Interpretation 1:</w:t>
      </w:r>
      <w:r>
        <w:rPr/>
        <w:t xml:space="preserve"> ASL</w:t>
      </w:r>
    </w:p>
    <w:p>
      <w:pPr>
        <w:pStyle w:val="Normal"/>
        <w:rPr/>
      </w:pPr>
      <w:r>
        <w:rPr>
          <w:b/>
          <w:bCs/>
        </w:rPr>
        <w:t xml:space="preserve">Interpretation 2: </w:t>
      </w:r>
      <w:r>
        <w:rPr/>
        <w:t>ASL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9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6042</TotalTime>
  <Application>LibreOffice/6.0.7.3$Linux_X86_64 LibreOffice_project/00m0$Build-3</Application>
  <Pages>11</Pages>
  <Words>208</Words>
  <Characters>1181</Characters>
  <CharactersWithSpaces>1385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2021-08-01T14:31:38Z</dcterms:created>
  <dc:creator>De Sl</dc:creator>
  <dc:description/>
  <dc:language>en-US</dc:language>
  <cp:lastModifiedBy>De Sl</cp:lastModifiedBy>
  <dcterms:modified xsi:type="dcterms:W3CDTF">2021-10-27T16:18:33Z</dcterms:modified>
  <cp:revision>53</cp:revision>
  <dc:subject/>
  <dc:title/>
</cp:coreProperties>
</file>