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Supplementary Material</w:t>
      </w:r>
    </w:p>
    <w:p>
      <w:pPr>
        <w:jc w:val="center"/>
      </w:pPr>
      <w:r>
        <w:rPr>
          <w:rFonts w:ascii="Times New Roman" w:hAnsi="Times New Roman"/>
          <w:b/>
          <w:sz w:val="26"/>
        </w:rPr>
        <w:t>A Route-Scale Framework for Assessing Artificial Light at Night Exposure Along Migratory Bird Routes Using Tracking Data and NASA Black Marble</w:t>
      </w:r>
    </w:p>
    <w:p>
      <w:pPr>
        <w:jc w:val="center"/>
      </w:pPr>
      <w:r>
        <w:rPr>
          <w:rFonts w:ascii="Times New Roman" w:hAnsi="Times New Roman"/>
          <w:i/>
          <w:sz w:val="22"/>
        </w:rPr>
        <w:t>Ecological Informatics</w:t>
      </w:r>
    </w:p>
    <w:p>
      <w:pPr>
        <w:pStyle w:val="Heading1"/>
        <w:spacing w:before="160" w:after="80"/>
      </w:pPr>
      <w:r>
        <w:rPr>
          <w:rFonts w:ascii="Times New Roman" w:hAnsi="Times New Roman"/>
          <w:color w:val="000000"/>
        </w:rPr>
        <w:t>Contents</w:t>
      </w:r>
    </w:p>
    <w:p>
      <w:pPr>
        <w:spacing w:after="40"/>
        <w:ind w:left="360"/>
      </w:pPr>
      <w:r>
        <w:rPr>
          <w:rFonts w:ascii="Times New Roman" w:hAnsi="Times New Roman"/>
          <w:sz w:val="20"/>
        </w:rPr>
        <w:t>Supplementary Methods S1. Habitat-level threshold and ordinal-score sensitivity</w:t>
      </w:r>
    </w:p>
    <w:p>
      <w:pPr>
        <w:spacing w:after="40"/>
        <w:ind w:left="360"/>
      </w:pPr>
      <w:r>
        <w:rPr>
          <w:rFonts w:ascii="Times New Roman" w:hAnsi="Times New Roman"/>
          <w:sz w:val="20"/>
        </w:rPr>
        <w:t>Supplementary Methods S2. Annual sensitivity of corridor-scale CEq</w:t>
      </w:r>
    </w:p>
    <w:p>
      <w:pPr>
        <w:spacing w:after="40"/>
        <w:ind w:left="360"/>
      </w:pPr>
      <w:r>
        <w:rPr>
          <w:rFonts w:ascii="Times New Roman" w:hAnsi="Times New Roman"/>
          <w:sz w:val="20"/>
        </w:rPr>
        <w:t>Tables S1-S6</w:t>
      </w:r>
    </w:p>
    <w:p>
      <w:pPr>
        <w:spacing w:after="40"/>
        <w:ind w:left="360"/>
      </w:pPr>
      <w:r>
        <w:rPr>
          <w:rFonts w:ascii="Times New Roman" w:hAnsi="Times New Roman"/>
          <w:sz w:val="20"/>
        </w:rPr>
        <w:t>Figures S1-S4</w:t>
      </w:r>
    </w:p>
    <w:p>
      <w:pPr>
        <w:spacing w:after="40"/>
        <w:ind w:left="360"/>
      </w:pPr>
      <w:r>
        <w:rPr>
          <w:rFonts w:ascii="Times New Roman" w:hAnsi="Times New Roman"/>
          <w:sz w:val="20"/>
        </w:rPr>
        <w:t>Separate Supplementary Data S1-S3 and Code S1-S2</w:t>
      </w:r>
    </w:p>
    <w:p>
      <w:r>
        <w:br w:type="page"/>
      </w:r>
    </w:p>
    <w:p>
      <w:pPr>
        <w:pStyle w:val="Heading1"/>
        <w:spacing w:before="160" w:after="80"/>
      </w:pPr>
      <w:r>
        <w:rPr>
          <w:rFonts w:ascii="Times New Roman" w:hAnsi="Times New Roman"/>
          <w:color w:val="000000"/>
        </w:rPr>
        <w:t>Supplementary Methods S1. Habitat-level threshold and ordinal-score sensitivity</w:t>
      </w:r>
    </w:p>
    <w:p>
      <w:pPr>
        <w:spacing w:after="80" w:line="252" w:lineRule="auto"/>
      </w:pPr>
      <w:r>
        <w:rPr>
          <w:rFonts w:ascii="Times New Roman" w:hAnsi="Times New Roman"/>
          <w:sz w:val="20"/>
        </w:rPr>
        <w:t>For each of the 18 habitat-use polygons, areas S1-S5 were extracted under three nighttime-radiance classifications while the polygon geometry, raster alignment, and area-overlay procedure were held constant. The baseline class boundaries were 0.5, 1, 5, and 10 nW cm⁻² sr⁻¹. Alternative boundaries were reduced by 20% (0.4, 0.8, 4, and 8) or increased by 20% (0.6, 1.2, 6, and 12). The ALAN-covered area was A_lit = S2 + S3 + S4 + S5. ELS was treated as undefined when A_lit = 0 and such units were excluded from conditional ELS comparisons.</w:t>
      </w:r>
    </w:p>
    <w:p>
      <w:pPr>
        <w:spacing w:after="80" w:line="252" w:lineRule="auto"/>
      </w:pPr>
      <w:r>
        <w:rPr>
          <w:rFonts w:ascii="Times New Roman" w:hAnsi="Times New Roman"/>
          <w:sz w:val="20"/>
        </w:rPr>
        <w:t>The baseline normalized ordinal score vector was u = (0, 0.25, 0.50, 0.75, 1.00), equivalent to the original scores (0, 1, 2, 3, 4) after division by four. Sensitivity to the spacing of the scores was evaluated with a concave function u^0.5, the linear baseline u, and a convex function u^2. The same score vector was used for STDHNLPI and ELS. The three threshold schemes and three score functions yielded nine deterministic scenarios.</w:t>
      </w:r>
    </w:p>
    <w:p>
      <w:pPr>
        <w:spacing w:after="80" w:line="252" w:lineRule="auto"/>
      </w:pPr>
      <w:r>
        <w:rPr>
          <w:rFonts w:ascii="Times New Roman" w:hAnsi="Times New Roman"/>
          <w:sz w:val="20"/>
        </w:rPr>
        <w:t>Robustness was summarized using Spearman rank correlation with the baseline, overlap among the five highest-STDHNLPI habitat-use units, and maximum absolute rank shift. Key-versus-temporary stopover contrasts were evaluated with exact label-permutation Mann-Whitney U tests because sample sizes were small and tied observations were common. Rank-biserial correlation was reported as an effect size; Benjamini-Hochberg adjustment was applied to the four baseline core-metric tests. Internal convergence checks compared STDHNLPI with continuous mean radiance, ELS with mean radiance in the ALAN-covered portion, and HER with P90 and P95. These comparisons are based on the same VNP46A4 source and are not independent field validation.</w:t>
      </w:r>
    </w:p>
    <w:p>
      <w:pPr>
        <w:pStyle w:val="Heading1"/>
        <w:spacing w:before="160" w:after="80"/>
      </w:pPr>
      <w:r>
        <w:rPr>
          <w:rFonts w:ascii="Times New Roman" w:hAnsi="Times New Roman"/>
          <w:color w:val="000000"/>
        </w:rPr>
        <w:t>Supplementary Methods S2. Annual sensitivity of corridor-scale CEq</w:t>
      </w:r>
    </w:p>
    <w:p>
      <w:pPr>
        <w:spacing w:after="80" w:line="252" w:lineRule="auto"/>
      </w:pPr>
      <w:r>
        <w:rPr>
          <w:rFonts w:ascii="Times New Roman" w:hAnsi="Times New Roman"/>
          <w:sz w:val="20"/>
        </w:rPr>
        <w:t>Corridor boundaries, migration-intensity weights, raster-processing settings, and the CEq formula were held constant, and CEq was recalculated using the 2022, 2023, and 2024 VNP46A4 annual composites. For each year, CEq was summarized for the nested 50%, 75%, and 95% corridors. Annual robustness was evaluated using corridor-specific means, standard deviations, coefficients of variation, the ratios CEq75/CEq50 and CEq95/CEq50, consistency of the 50% &gt; 75% &gt; 95% ordering, and pairwise similarity of the normalized annual profiles. Because the corridors were nested and only three annual composites were available, the analysis emphasized effect magnitude and ordering rather than independent-sample null-hypothesis tests.</w:t>
      </w:r>
    </w:p>
    <w:p>
      <w:pPr>
        <w:pStyle w:val="Heading1"/>
        <w:spacing w:before="160" w:after="80"/>
      </w:pPr>
      <w:r>
        <w:rPr>
          <w:rFonts w:ascii="Times New Roman" w:hAnsi="Times New Roman"/>
          <w:color w:val="000000"/>
        </w:rPr>
        <w:t>Table S1. Alternative threshold and ordinal-score schemes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088"/>
            <w:vAlign w:val="center"/>
            <w:shd w:fill="D9E1F2"/>
          </w:tcPr>
          <w:p>
            <w:pPr>
              <w:spacing w:after="0"/>
              <w:jc w:val="center"/>
            </w:pPr>
            <w:r/>
            <w:r>
              <w:rPr>
                <w:rFonts w:ascii="Times New Roman" w:hAnsi="Times New Roman"/>
                <w:b/>
                <w:sz w:val="17"/>
              </w:rPr>
              <w:t>Analysis component</w:t>
            </w:r>
          </w:p>
        </w:tc>
        <w:tc>
          <w:tcPr>
            <w:tcW w:type="dxa" w:w="2160"/>
            <w:vAlign w:val="center"/>
            <w:shd w:fill="D9E1F2"/>
          </w:tcPr>
          <w:p>
            <w:pPr>
              <w:spacing w:after="0"/>
              <w:jc w:val="center"/>
            </w:pPr>
            <w:r/>
            <w:r>
              <w:rPr>
                <w:rFonts w:ascii="Times New Roman" w:hAnsi="Times New Roman"/>
                <w:b/>
                <w:sz w:val="17"/>
              </w:rPr>
              <w:t>Scheme</w:t>
            </w:r>
          </w:p>
        </w:tc>
        <w:tc>
          <w:tcPr>
            <w:tcW w:type="dxa" w:w="4680"/>
            <w:vAlign w:val="center"/>
            <w:shd w:fill="D9E1F2"/>
          </w:tcPr>
          <w:p>
            <w:pPr>
              <w:spacing w:after="0"/>
              <w:jc w:val="center"/>
            </w:pPr>
            <w:r/>
            <w:r>
              <w:rPr>
                <w:rFonts w:ascii="Times New Roman" w:hAnsi="Times New Roman"/>
                <w:b/>
                <w:sz w:val="17"/>
              </w:rPr>
              <w:t>Boundaries or normalized score vector</w:t>
            </w:r>
          </w:p>
        </w:tc>
        <w:tc>
          <w:tcPr>
            <w:tcW w:type="dxa" w:w="5040"/>
            <w:vAlign w:val="center"/>
            <w:shd w:fill="D9E1F2"/>
          </w:tcPr>
          <w:p>
            <w:pPr>
              <w:spacing w:after="0"/>
              <w:jc w:val="center"/>
            </w:pPr>
            <w:r/>
            <w:r>
              <w:rPr>
                <w:rFonts w:ascii="Times New Roman" w:hAnsi="Times New Roman"/>
                <w:b/>
                <w:sz w:val="17"/>
              </w:rPr>
              <w:t>Interpretation</w:t>
            </w:r>
          </w:p>
        </w:tc>
      </w:tr>
      <w:tr>
        <w:tc>
          <w:tcPr>
            <w:tcW w:type="dxa" w:w="2088"/>
            <w:vAlign w:val="center"/>
          </w:tcPr>
          <w:p>
            <w:pPr>
              <w:spacing w:after="0"/>
              <w:jc w:val="center"/>
            </w:pPr>
            <w:r/>
            <w:r>
              <w:rPr>
                <w:rFonts w:ascii="Times New Roman" w:hAnsi="Times New Roman"/>
                <w:b w:val="0"/>
                <w:sz w:val="17"/>
              </w:rPr>
              <w:t>Threshold</w:t>
            </w:r>
          </w:p>
        </w:tc>
        <w:tc>
          <w:tcPr>
            <w:tcW w:type="dxa" w:w="2160"/>
            <w:vAlign w:val="center"/>
          </w:tcPr>
          <w:p>
            <w:pPr>
              <w:spacing w:after="0"/>
              <w:jc w:val="center"/>
            </w:pPr>
            <w:r/>
            <w:r>
              <w:rPr>
                <w:rFonts w:ascii="Times New Roman" w:hAnsi="Times New Roman"/>
                <w:b w:val="0"/>
                <w:sz w:val="17"/>
              </w:rPr>
              <w:t>Cm20</w:t>
            </w:r>
          </w:p>
        </w:tc>
        <w:tc>
          <w:tcPr>
            <w:tcW w:type="dxa" w:w="4680"/>
            <w:vAlign w:val="center"/>
          </w:tcPr>
          <w:p>
            <w:pPr>
              <w:spacing w:after="0"/>
              <w:jc w:val="left"/>
            </w:pPr>
            <w:r/>
            <w:r>
              <w:rPr>
                <w:rFonts w:ascii="Times New Roman" w:hAnsi="Times New Roman"/>
                <w:b w:val="0"/>
                <w:sz w:val="17"/>
              </w:rPr>
              <w:t>0.4, 0.8, 4, 8 nW cm⁻² sr⁻¹</w:t>
            </w:r>
          </w:p>
        </w:tc>
        <w:tc>
          <w:tcPr>
            <w:tcW w:type="dxa" w:w="5040"/>
            <w:vAlign w:val="center"/>
          </w:tcPr>
          <w:p>
            <w:pPr>
              <w:spacing w:after="0"/>
              <w:jc w:val="left"/>
            </w:pPr>
            <w:r/>
            <w:r>
              <w:rPr>
                <w:rFonts w:ascii="Times New Roman" w:hAnsi="Times New Roman"/>
                <w:b w:val="0"/>
                <w:sz w:val="17"/>
              </w:rPr>
              <w:t>All four baseline boundaries reduced by 20%</w:t>
            </w:r>
          </w:p>
        </w:tc>
      </w:tr>
      <w:tr>
        <w:tc>
          <w:tcPr>
            <w:tcW w:type="dxa" w:w="2088"/>
            <w:vAlign w:val="center"/>
          </w:tcPr>
          <w:p>
            <w:pPr>
              <w:spacing w:after="0"/>
              <w:jc w:val="center"/>
            </w:pPr>
            <w:r/>
            <w:r>
              <w:rPr>
                <w:rFonts w:ascii="Times New Roman" w:hAnsi="Times New Roman"/>
                <w:b w:val="0"/>
                <w:sz w:val="17"/>
              </w:rPr>
              <w:t>Threshold</w:t>
            </w:r>
          </w:p>
        </w:tc>
        <w:tc>
          <w:tcPr>
            <w:tcW w:type="dxa" w:w="2160"/>
            <w:vAlign w:val="center"/>
          </w:tcPr>
          <w:p>
            <w:pPr>
              <w:spacing w:after="0"/>
              <w:jc w:val="center"/>
            </w:pPr>
            <w:r/>
            <w:r>
              <w:rPr>
                <w:rFonts w:ascii="Times New Roman" w:hAnsi="Times New Roman"/>
                <w:b w:val="0"/>
                <w:sz w:val="17"/>
              </w:rPr>
              <w:t>C0</w:t>
            </w:r>
          </w:p>
        </w:tc>
        <w:tc>
          <w:tcPr>
            <w:tcW w:type="dxa" w:w="4680"/>
            <w:vAlign w:val="center"/>
          </w:tcPr>
          <w:p>
            <w:pPr>
              <w:spacing w:after="0"/>
              <w:jc w:val="left"/>
            </w:pPr>
            <w:r/>
            <w:r>
              <w:rPr>
                <w:rFonts w:ascii="Times New Roman" w:hAnsi="Times New Roman"/>
                <w:b w:val="0"/>
                <w:sz w:val="17"/>
              </w:rPr>
              <w:t>0.5, 1, 5, 10 nW cm⁻² sr⁻¹</w:t>
            </w:r>
          </w:p>
        </w:tc>
        <w:tc>
          <w:tcPr>
            <w:tcW w:type="dxa" w:w="5040"/>
            <w:vAlign w:val="center"/>
          </w:tcPr>
          <w:p>
            <w:pPr>
              <w:spacing w:after="0"/>
              <w:jc w:val="left"/>
            </w:pPr>
            <w:r/>
            <w:r>
              <w:rPr>
                <w:rFonts w:ascii="Times New Roman" w:hAnsi="Times New Roman"/>
                <w:b w:val="0"/>
                <w:sz w:val="17"/>
              </w:rPr>
              <w:t>Baseline radiance classification</w:t>
            </w:r>
          </w:p>
        </w:tc>
      </w:tr>
      <w:tr>
        <w:tc>
          <w:tcPr>
            <w:tcW w:type="dxa" w:w="2088"/>
            <w:vAlign w:val="center"/>
          </w:tcPr>
          <w:p>
            <w:pPr>
              <w:spacing w:after="0"/>
              <w:jc w:val="center"/>
            </w:pPr>
            <w:r/>
            <w:r>
              <w:rPr>
                <w:rFonts w:ascii="Times New Roman" w:hAnsi="Times New Roman"/>
                <w:b w:val="0"/>
                <w:sz w:val="17"/>
              </w:rPr>
              <w:t>Threshold</w:t>
            </w:r>
          </w:p>
        </w:tc>
        <w:tc>
          <w:tcPr>
            <w:tcW w:type="dxa" w:w="2160"/>
            <w:vAlign w:val="center"/>
          </w:tcPr>
          <w:p>
            <w:pPr>
              <w:spacing w:after="0"/>
              <w:jc w:val="center"/>
            </w:pPr>
            <w:r/>
            <w:r>
              <w:rPr>
                <w:rFonts w:ascii="Times New Roman" w:hAnsi="Times New Roman"/>
                <w:b w:val="0"/>
                <w:sz w:val="17"/>
              </w:rPr>
              <w:t>Cp20</w:t>
            </w:r>
          </w:p>
        </w:tc>
        <w:tc>
          <w:tcPr>
            <w:tcW w:type="dxa" w:w="4680"/>
            <w:vAlign w:val="center"/>
          </w:tcPr>
          <w:p>
            <w:pPr>
              <w:spacing w:after="0"/>
              <w:jc w:val="left"/>
            </w:pPr>
            <w:r/>
            <w:r>
              <w:rPr>
                <w:rFonts w:ascii="Times New Roman" w:hAnsi="Times New Roman"/>
                <w:b w:val="0"/>
                <w:sz w:val="17"/>
              </w:rPr>
              <w:t>0.6, 1.2, 6, 12 nW cm⁻² sr⁻¹</w:t>
            </w:r>
          </w:p>
        </w:tc>
        <w:tc>
          <w:tcPr>
            <w:tcW w:type="dxa" w:w="5040"/>
            <w:vAlign w:val="center"/>
          </w:tcPr>
          <w:p>
            <w:pPr>
              <w:spacing w:after="0"/>
              <w:jc w:val="left"/>
            </w:pPr>
            <w:r/>
            <w:r>
              <w:rPr>
                <w:rFonts w:ascii="Times New Roman" w:hAnsi="Times New Roman"/>
                <w:b w:val="0"/>
                <w:sz w:val="17"/>
              </w:rPr>
              <w:t>All four baseline boundaries increased by 20%</w:t>
            </w:r>
          </w:p>
        </w:tc>
      </w:tr>
      <w:tr>
        <w:tc>
          <w:tcPr>
            <w:tcW w:type="dxa" w:w="2088"/>
            <w:vAlign w:val="center"/>
          </w:tcPr>
          <w:p>
            <w:pPr>
              <w:spacing w:after="0"/>
              <w:jc w:val="center"/>
            </w:pPr>
            <w:r/>
            <w:r>
              <w:rPr>
                <w:rFonts w:ascii="Times New Roman" w:hAnsi="Times New Roman"/>
                <w:b w:val="0"/>
                <w:sz w:val="17"/>
              </w:rPr>
              <w:t>Score</w:t>
            </w:r>
          </w:p>
        </w:tc>
        <w:tc>
          <w:tcPr>
            <w:tcW w:type="dxa" w:w="2160"/>
            <w:vAlign w:val="center"/>
          </w:tcPr>
          <w:p>
            <w:pPr>
              <w:spacing w:after="0"/>
              <w:jc w:val="center"/>
            </w:pPr>
            <w:r/>
            <w:r>
              <w:rPr>
                <w:rFonts w:ascii="Times New Roman" w:hAnsi="Times New Roman"/>
                <w:b w:val="0"/>
                <w:sz w:val="17"/>
              </w:rPr>
              <w:t>Concave, γ=0.5</w:t>
            </w:r>
          </w:p>
        </w:tc>
        <w:tc>
          <w:tcPr>
            <w:tcW w:type="dxa" w:w="4680"/>
            <w:vAlign w:val="center"/>
          </w:tcPr>
          <w:p>
            <w:pPr>
              <w:spacing w:after="0"/>
              <w:jc w:val="left"/>
            </w:pPr>
            <w:r/>
            <w:r>
              <w:rPr>
                <w:rFonts w:ascii="Times New Roman" w:hAnsi="Times New Roman"/>
                <w:b w:val="0"/>
                <w:sz w:val="17"/>
              </w:rPr>
              <w:t>(0, 0.500, 0.707, 0.866, 1)</w:t>
            </w:r>
          </w:p>
        </w:tc>
        <w:tc>
          <w:tcPr>
            <w:tcW w:type="dxa" w:w="5040"/>
            <w:vAlign w:val="center"/>
          </w:tcPr>
          <w:p>
            <w:pPr>
              <w:spacing w:after="0"/>
              <w:jc w:val="left"/>
            </w:pPr>
            <w:r/>
            <w:r>
              <w:rPr>
                <w:rFonts w:ascii="Times New Roman" w:hAnsi="Times New Roman"/>
                <w:b w:val="0"/>
                <w:sz w:val="17"/>
              </w:rPr>
              <w:t>Greater relative emphasis on low-radiance classes</w:t>
            </w:r>
          </w:p>
        </w:tc>
      </w:tr>
      <w:tr>
        <w:tc>
          <w:tcPr>
            <w:tcW w:type="dxa" w:w="2088"/>
            <w:vAlign w:val="center"/>
          </w:tcPr>
          <w:p>
            <w:pPr>
              <w:spacing w:after="0"/>
              <w:jc w:val="center"/>
            </w:pPr>
            <w:r/>
            <w:r>
              <w:rPr>
                <w:rFonts w:ascii="Times New Roman" w:hAnsi="Times New Roman"/>
                <w:b w:val="0"/>
                <w:sz w:val="17"/>
              </w:rPr>
              <w:t>Score</w:t>
            </w:r>
          </w:p>
        </w:tc>
        <w:tc>
          <w:tcPr>
            <w:tcW w:type="dxa" w:w="2160"/>
            <w:vAlign w:val="center"/>
          </w:tcPr>
          <w:p>
            <w:pPr>
              <w:spacing w:after="0"/>
              <w:jc w:val="center"/>
            </w:pPr>
            <w:r/>
            <w:r>
              <w:rPr>
                <w:rFonts w:ascii="Times New Roman" w:hAnsi="Times New Roman"/>
                <w:b w:val="0"/>
                <w:sz w:val="17"/>
              </w:rPr>
              <w:t>Linear, γ=1</w:t>
            </w:r>
          </w:p>
        </w:tc>
        <w:tc>
          <w:tcPr>
            <w:tcW w:type="dxa" w:w="4680"/>
            <w:vAlign w:val="center"/>
          </w:tcPr>
          <w:p>
            <w:pPr>
              <w:spacing w:after="0"/>
              <w:jc w:val="left"/>
            </w:pPr>
            <w:r/>
            <w:r>
              <w:rPr>
                <w:rFonts w:ascii="Times New Roman" w:hAnsi="Times New Roman"/>
                <w:b w:val="0"/>
                <w:sz w:val="17"/>
              </w:rPr>
              <w:t>(0, 0.250, 0.500, 0.750, 1)</w:t>
            </w:r>
          </w:p>
        </w:tc>
        <w:tc>
          <w:tcPr>
            <w:tcW w:type="dxa" w:w="5040"/>
            <w:vAlign w:val="center"/>
          </w:tcPr>
          <w:p>
            <w:pPr>
              <w:spacing w:after="0"/>
              <w:jc w:val="left"/>
            </w:pPr>
            <w:r/>
            <w:r>
              <w:rPr>
                <w:rFonts w:ascii="Times New Roman" w:hAnsi="Times New Roman"/>
                <w:b w:val="0"/>
                <w:sz w:val="17"/>
              </w:rPr>
              <w:t>Baseline equal-interval ordinal scoring</w:t>
            </w:r>
          </w:p>
        </w:tc>
      </w:tr>
      <w:tr>
        <w:tc>
          <w:tcPr>
            <w:tcW w:type="dxa" w:w="2088"/>
            <w:vAlign w:val="center"/>
          </w:tcPr>
          <w:p>
            <w:pPr>
              <w:spacing w:after="0"/>
              <w:jc w:val="center"/>
            </w:pPr>
            <w:r/>
            <w:r>
              <w:rPr>
                <w:rFonts w:ascii="Times New Roman" w:hAnsi="Times New Roman"/>
                <w:b w:val="0"/>
                <w:sz w:val="17"/>
              </w:rPr>
              <w:t>Score</w:t>
            </w:r>
          </w:p>
        </w:tc>
        <w:tc>
          <w:tcPr>
            <w:tcW w:type="dxa" w:w="2160"/>
            <w:vAlign w:val="center"/>
          </w:tcPr>
          <w:p>
            <w:pPr>
              <w:spacing w:after="0"/>
              <w:jc w:val="center"/>
            </w:pPr>
            <w:r/>
            <w:r>
              <w:rPr>
                <w:rFonts w:ascii="Times New Roman" w:hAnsi="Times New Roman"/>
                <w:b w:val="0"/>
                <w:sz w:val="17"/>
              </w:rPr>
              <w:t>Convex, γ=2</w:t>
            </w:r>
          </w:p>
        </w:tc>
        <w:tc>
          <w:tcPr>
            <w:tcW w:type="dxa" w:w="4680"/>
            <w:vAlign w:val="center"/>
          </w:tcPr>
          <w:p>
            <w:pPr>
              <w:spacing w:after="0"/>
              <w:jc w:val="left"/>
            </w:pPr>
            <w:r/>
            <w:r>
              <w:rPr>
                <w:rFonts w:ascii="Times New Roman" w:hAnsi="Times New Roman"/>
                <w:b w:val="0"/>
                <w:sz w:val="17"/>
              </w:rPr>
              <w:t>(0, 0.0625, 0.250, 0.5625, 1)</w:t>
            </w:r>
          </w:p>
        </w:tc>
        <w:tc>
          <w:tcPr>
            <w:tcW w:type="dxa" w:w="5040"/>
            <w:vAlign w:val="center"/>
          </w:tcPr>
          <w:p>
            <w:pPr>
              <w:spacing w:after="0"/>
              <w:jc w:val="left"/>
            </w:pPr>
            <w:r/>
            <w:r>
              <w:rPr>
                <w:rFonts w:ascii="Times New Roman" w:hAnsi="Times New Roman"/>
                <w:b w:val="0"/>
                <w:sz w:val="17"/>
              </w:rPr>
              <w:t>Greater relative emphasis on high-radiance classes</w:t>
            </w:r>
          </w:p>
        </w:tc>
      </w:tr>
    </w:tbl>
    <w:p>
      <w:pPr>
        <w:spacing w:after="0"/>
      </w:pPr>
    </w:p>
    <w:p>
      <w:pPr>
        <w:pStyle w:val="Heading1"/>
        <w:spacing w:before="160" w:after="80"/>
      </w:pPr>
      <w:r>
        <w:rPr>
          <w:rFonts w:ascii="Times New Roman" w:hAnsi="Times New Roman"/>
          <w:color w:val="000000"/>
        </w:rPr>
        <w:t>Table S2. Threshold sensitivity of habitat-exposure metrics</w:t>
      </w:r>
    </w:p>
    <w:tbl>
      <w:tblPr>
        <w:tblStyle w:val="TableGrid"/>
        <w:tblW w:type="auto" w:w="0"/>
        <w:jc w:val="center"/>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440"/>
            <w:vAlign w:val="center"/>
            <w:shd w:fill="D9E1F2"/>
          </w:tcPr>
          <w:p>
            <w:pPr>
              <w:spacing w:after="0"/>
              <w:jc w:val="center"/>
            </w:pPr>
            <w:r/>
            <w:r>
              <w:rPr>
                <w:rFonts w:ascii="Times New Roman" w:hAnsi="Times New Roman"/>
                <w:b/>
                <w:sz w:val="15"/>
              </w:rPr>
              <w:t>Metric</w:t>
            </w:r>
          </w:p>
        </w:tc>
        <w:tc>
          <w:tcPr>
            <w:tcW w:type="dxa" w:w="1296"/>
            <w:vAlign w:val="center"/>
            <w:shd w:fill="D9E1F2"/>
          </w:tcPr>
          <w:p>
            <w:pPr>
              <w:spacing w:after="0"/>
              <w:jc w:val="center"/>
            </w:pPr>
            <w:r/>
            <w:r>
              <w:rPr>
                <w:rFonts w:ascii="Times New Roman" w:hAnsi="Times New Roman"/>
                <w:b/>
                <w:sz w:val="15"/>
              </w:rPr>
              <w:t>Alternative</w:t>
            </w:r>
          </w:p>
        </w:tc>
        <w:tc>
          <w:tcPr>
            <w:tcW w:type="dxa" w:w="648"/>
            <w:vAlign w:val="center"/>
            <w:shd w:fill="D9E1F2"/>
          </w:tcPr>
          <w:p>
            <w:pPr>
              <w:spacing w:after="0"/>
              <w:jc w:val="center"/>
            </w:pPr>
            <w:r/>
            <w:r>
              <w:rPr>
                <w:rFonts w:ascii="Times New Roman" w:hAnsi="Times New Roman"/>
                <w:b/>
                <w:sz w:val="15"/>
              </w:rPr>
              <w:t>N</w:t>
            </w:r>
          </w:p>
        </w:tc>
        <w:tc>
          <w:tcPr>
            <w:tcW w:type="dxa" w:w="1152"/>
            <w:vAlign w:val="center"/>
            <w:shd w:fill="D9E1F2"/>
          </w:tcPr>
          <w:p>
            <w:pPr>
              <w:spacing w:after="0"/>
              <w:jc w:val="center"/>
            </w:pPr>
            <w:r/>
            <w:r>
              <w:rPr>
                <w:rFonts w:ascii="Times New Roman" w:hAnsi="Times New Roman"/>
                <w:b/>
                <w:sz w:val="15"/>
              </w:rPr>
              <w:t>Spearman ρ</w:t>
            </w:r>
          </w:p>
        </w:tc>
        <w:tc>
          <w:tcPr>
            <w:tcW w:type="dxa" w:w="1800"/>
            <w:vAlign w:val="center"/>
            <w:shd w:fill="D9E1F2"/>
          </w:tcPr>
          <w:p>
            <w:pPr>
              <w:spacing w:after="0"/>
              <w:jc w:val="center"/>
            </w:pPr>
            <w:r/>
            <w:r>
              <w:rPr>
                <w:rFonts w:ascii="Times New Roman" w:hAnsi="Times New Roman"/>
                <w:b/>
                <w:sz w:val="15"/>
              </w:rPr>
              <w:t>Bootstrap 95% CI</w:t>
            </w:r>
          </w:p>
        </w:tc>
        <w:tc>
          <w:tcPr>
            <w:tcW w:type="dxa" w:w="1224"/>
            <w:vAlign w:val="center"/>
            <w:shd w:fill="D9E1F2"/>
          </w:tcPr>
          <w:p>
            <w:pPr>
              <w:spacing w:after="0"/>
              <w:jc w:val="center"/>
            </w:pPr>
            <w:r/>
            <w:r>
              <w:rPr>
                <w:rFonts w:ascii="Times New Roman" w:hAnsi="Times New Roman"/>
                <w:b/>
                <w:sz w:val="15"/>
              </w:rPr>
              <w:t>Mean |Δ|</w:t>
            </w:r>
          </w:p>
        </w:tc>
        <w:tc>
          <w:tcPr>
            <w:tcW w:type="dxa" w:w="1296"/>
            <w:vAlign w:val="center"/>
            <w:shd w:fill="D9E1F2"/>
          </w:tcPr>
          <w:p>
            <w:pPr>
              <w:spacing w:after="0"/>
              <w:jc w:val="center"/>
            </w:pPr>
            <w:r/>
            <w:r>
              <w:rPr>
                <w:rFonts w:ascii="Times New Roman" w:hAnsi="Times New Roman"/>
                <w:b/>
                <w:sz w:val="15"/>
              </w:rPr>
              <w:t>Maximum |Δ|</w:t>
            </w:r>
          </w:p>
        </w:tc>
        <w:tc>
          <w:tcPr>
            <w:tcW w:type="dxa" w:w="1656"/>
            <w:vAlign w:val="center"/>
            <w:shd w:fill="D9E1F2"/>
          </w:tcPr>
          <w:p>
            <w:pPr>
              <w:spacing w:after="0"/>
              <w:jc w:val="center"/>
            </w:pPr>
            <w:r/>
            <w:r>
              <w:rPr>
                <w:rFonts w:ascii="Times New Roman" w:hAnsi="Times New Roman"/>
                <w:b/>
                <w:sz w:val="15"/>
              </w:rPr>
              <w:t>Maximum rank shift</w:t>
            </w:r>
          </w:p>
        </w:tc>
        <w:tc>
          <w:tcPr>
            <w:tcW w:type="dxa" w:w="1440"/>
            <w:vAlign w:val="center"/>
            <w:shd w:fill="D9E1F2"/>
          </w:tcPr>
          <w:p>
            <w:pPr>
              <w:spacing w:after="0"/>
              <w:jc w:val="center"/>
            </w:pPr>
            <w:r/>
            <w:r>
              <w:rPr>
                <w:rFonts w:ascii="Times New Roman" w:hAnsi="Times New Roman"/>
                <w:b/>
                <w:sz w:val="15"/>
              </w:rPr>
              <w:t>Top-five overlap</w:t>
            </w:r>
          </w:p>
        </w:tc>
      </w:tr>
      <w:tr>
        <w:tc>
          <w:tcPr>
            <w:tcW w:type="dxa" w:w="1440"/>
            <w:vAlign w:val="center"/>
          </w:tcPr>
          <w:p>
            <w:pPr>
              <w:spacing w:after="0"/>
              <w:jc w:val="center"/>
            </w:pPr>
            <w:r/>
            <w:r>
              <w:rPr>
                <w:rFonts w:ascii="Times New Roman" w:hAnsi="Times New Roman"/>
                <w:b w:val="0"/>
                <w:sz w:val="15"/>
              </w:rPr>
              <w:t>PCR</w:t>
            </w:r>
          </w:p>
        </w:tc>
        <w:tc>
          <w:tcPr>
            <w:tcW w:type="dxa" w:w="1296"/>
            <w:vAlign w:val="center"/>
          </w:tcPr>
          <w:p>
            <w:pPr>
              <w:spacing w:after="0"/>
              <w:jc w:val="center"/>
            </w:pPr>
            <w:r/>
            <w:r>
              <w:rPr>
                <w:rFonts w:ascii="Times New Roman" w:hAnsi="Times New Roman"/>
                <w:b w:val="0"/>
                <w:sz w:val="15"/>
              </w:rPr>
              <w:t>Cm20</w:t>
            </w:r>
          </w:p>
        </w:tc>
        <w:tc>
          <w:tcPr>
            <w:tcW w:type="dxa" w:w="648"/>
            <w:vAlign w:val="center"/>
          </w:tcPr>
          <w:p>
            <w:pPr>
              <w:spacing w:after="0"/>
              <w:jc w:val="center"/>
            </w:pPr>
            <w:r/>
            <w:r>
              <w:rPr>
                <w:rFonts w:ascii="Times New Roman" w:hAnsi="Times New Roman"/>
                <w:b w:val="0"/>
                <w:sz w:val="15"/>
              </w:rPr>
              <w:t>18</w:t>
            </w:r>
          </w:p>
        </w:tc>
        <w:tc>
          <w:tcPr>
            <w:tcW w:type="dxa" w:w="1152"/>
            <w:vAlign w:val="center"/>
          </w:tcPr>
          <w:p>
            <w:pPr>
              <w:spacing w:after="0"/>
              <w:jc w:val="center"/>
            </w:pPr>
            <w:r/>
            <w:r>
              <w:rPr>
                <w:rFonts w:ascii="Times New Roman" w:hAnsi="Times New Roman"/>
                <w:b w:val="0"/>
                <w:sz w:val="15"/>
              </w:rPr>
              <w:t>1.000</w:t>
            </w:r>
          </w:p>
        </w:tc>
        <w:tc>
          <w:tcPr>
            <w:tcW w:type="dxa" w:w="1800"/>
            <w:vAlign w:val="center"/>
          </w:tcPr>
          <w:p>
            <w:pPr>
              <w:spacing w:after="0"/>
              <w:jc w:val="center"/>
            </w:pPr>
            <w:r/>
            <w:r>
              <w:rPr>
                <w:rFonts w:ascii="Times New Roman" w:hAnsi="Times New Roman"/>
                <w:b w:val="0"/>
                <w:sz w:val="15"/>
              </w:rPr>
              <w:t>1.000-1.000</w:t>
            </w:r>
          </w:p>
        </w:tc>
        <w:tc>
          <w:tcPr>
            <w:tcW w:type="dxa" w:w="1224"/>
            <w:vAlign w:val="center"/>
          </w:tcPr>
          <w:p>
            <w:pPr>
              <w:spacing w:after="0"/>
              <w:jc w:val="center"/>
            </w:pPr>
            <w:r/>
            <w:r>
              <w:rPr>
                <w:rFonts w:ascii="Times New Roman" w:hAnsi="Times New Roman"/>
                <w:b w:val="0"/>
                <w:sz w:val="15"/>
              </w:rPr>
              <w:t>0.0000</w:t>
            </w:r>
          </w:p>
        </w:tc>
        <w:tc>
          <w:tcPr>
            <w:tcW w:type="dxa" w:w="1296"/>
            <w:vAlign w:val="center"/>
          </w:tcPr>
          <w:p>
            <w:pPr>
              <w:spacing w:after="0"/>
              <w:jc w:val="center"/>
            </w:pPr>
            <w:r/>
            <w:r>
              <w:rPr>
                <w:rFonts w:ascii="Times New Roman" w:hAnsi="Times New Roman"/>
                <w:b w:val="0"/>
                <w:sz w:val="15"/>
              </w:rPr>
              <w:t>0.0000</w:t>
            </w:r>
          </w:p>
        </w:tc>
        <w:tc>
          <w:tcPr>
            <w:tcW w:type="dxa" w:w="1656"/>
            <w:vAlign w:val="center"/>
          </w:tcPr>
          <w:p>
            <w:pPr>
              <w:spacing w:after="0"/>
              <w:jc w:val="center"/>
            </w:pPr>
            <w:r/>
            <w:r>
              <w:rPr>
                <w:rFonts w:ascii="Times New Roman" w:hAnsi="Times New Roman"/>
                <w:b w:val="0"/>
                <w:sz w:val="15"/>
              </w:rPr>
              <w:t>0.0</w:t>
            </w:r>
          </w:p>
        </w:tc>
        <w:tc>
          <w:tcPr>
            <w:tcW w:type="dxa" w:w="1440"/>
            <w:vAlign w:val="center"/>
          </w:tcPr>
          <w:p>
            <w:pPr>
              <w:spacing w:after="0"/>
              <w:jc w:val="center"/>
            </w:pPr>
            <w:r/>
            <w:r>
              <w:rPr>
                <w:rFonts w:ascii="Times New Roman" w:hAnsi="Times New Roman"/>
                <w:b w:val="0"/>
                <w:sz w:val="15"/>
              </w:rPr>
              <w:t>5/5</w:t>
            </w:r>
          </w:p>
        </w:tc>
      </w:tr>
      <w:tr>
        <w:tc>
          <w:tcPr>
            <w:tcW w:type="dxa" w:w="1440"/>
            <w:vAlign w:val="center"/>
          </w:tcPr>
          <w:p>
            <w:pPr>
              <w:spacing w:after="0"/>
              <w:jc w:val="center"/>
            </w:pPr>
            <w:r/>
            <w:r>
              <w:rPr>
                <w:rFonts w:ascii="Times New Roman" w:hAnsi="Times New Roman"/>
                <w:b w:val="0"/>
                <w:sz w:val="15"/>
              </w:rPr>
              <w:t>PCR</w:t>
            </w:r>
          </w:p>
        </w:tc>
        <w:tc>
          <w:tcPr>
            <w:tcW w:type="dxa" w:w="1296"/>
            <w:vAlign w:val="center"/>
          </w:tcPr>
          <w:p>
            <w:pPr>
              <w:spacing w:after="0"/>
              <w:jc w:val="center"/>
            </w:pPr>
            <w:r/>
            <w:r>
              <w:rPr>
                <w:rFonts w:ascii="Times New Roman" w:hAnsi="Times New Roman"/>
                <w:b w:val="0"/>
                <w:sz w:val="15"/>
              </w:rPr>
              <w:t>Cp20</w:t>
            </w:r>
          </w:p>
        </w:tc>
        <w:tc>
          <w:tcPr>
            <w:tcW w:type="dxa" w:w="648"/>
            <w:vAlign w:val="center"/>
          </w:tcPr>
          <w:p>
            <w:pPr>
              <w:spacing w:after="0"/>
              <w:jc w:val="center"/>
            </w:pPr>
            <w:r/>
            <w:r>
              <w:rPr>
                <w:rFonts w:ascii="Times New Roman" w:hAnsi="Times New Roman"/>
                <w:b w:val="0"/>
                <w:sz w:val="15"/>
              </w:rPr>
              <w:t>18</w:t>
            </w:r>
          </w:p>
        </w:tc>
        <w:tc>
          <w:tcPr>
            <w:tcW w:type="dxa" w:w="1152"/>
            <w:vAlign w:val="center"/>
          </w:tcPr>
          <w:p>
            <w:pPr>
              <w:spacing w:after="0"/>
              <w:jc w:val="center"/>
            </w:pPr>
            <w:r/>
            <w:r>
              <w:rPr>
                <w:rFonts w:ascii="Times New Roman" w:hAnsi="Times New Roman"/>
                <w:b w:val="0"/>
                <w:sz w:val="15"/>
              </w:rPr>
              <w:t>0.982</w:t>
            </w:r>
          </w:p>
        </w:tc>
        <w:tc>
          <w:tcPr>
            <w:tcW w:type="dxa" w:w="1800"/>
            <w:vAlign w:val="center"/>
          </w:tcPr>
          <w:p>
            <w:pPr>
              <w:spacing w:after="0"/>
              <w:jc w:val="center"/>
            </w:pPr>
            <w:r/>
            <w:r>
              <w:rPr>
                <w:rFonts w:ascii="Times New Roman" w:hAnsi="Times New Roman"/>
                <w:b w:val="0"/>
                <w:sz w:val="15"/>
              </w:rPr>
              <w:t>0.907-1.000</w:t>
            </w:r>
          </w:p>
        </w:tc>
        <w:tc>
          <w:tcPr>
            <w:tcW w:type="dxa" w:w="1224"/>
            <w:vAlign w:val="center"/>
          </w:tcPr>
          <w:p>
            <w:pPr>
              <w:spacing w:after="0"/>
              <w:jc w:val="center"/>
            </w:pPr>
            <w:r/>
            <w:r>
              <w:rPr>
                <w:rFonts w:ascii="Times New Roman" w:hAnsi="Times New Roman"/>
                <w:b w:val="0"/>
                <w:sz w:val="15"/>
              </w:rPr>
              <w:t>0.0399</w:t>
            </w:r>
          </w:p>
        </w:tc>
        <w:tc>
          <w:tcPr>
            <w:tcW w:type="dxa" w:w="1296"/>
            <w:vAlign w:val="center"/>
          </w:tcPr>
          <w:p>
            <w:pPr>
              <w:spacing w:after="0"/>
              <w:jc w:val="center"/>
            </w:pPr>
            <w:r/>
            <w:r>
              <w:rPr>
                <w:rFonts w:ascii="Times New Roman" w:hAnsi="Times New Roman"/>
                <w:b w:val="0"/>
                <w:sz w:val="15"/>
              </w:rPr>
              <w:t>0.2314</w:t>
            </w:r>
          </w:p>
        </w:tc>
        <w:tc>
          <w:tcPr>
            <w:tcW w:type="dxa" w:w="1656"/>
            <w:vAlign w:val="center"/>
          </w:tcPr>
          <w:p>
            <w:pPr>
              <w:spacing w:after="0"/>
              <w:jc w:val="center"/>
            </w:pPr>
            <w:r/>
            <w:r>
              <w:rPr>
                <w:rFonts w:ascii="Times New Roman" w:hAnsi="Times New Roman"/>
                <w:b w:val="0"/>
                <w:sz w:val="15"/>
              </w:rPr>
              <w:t>2.0</w:t>
            </w:r>
          </w:p>
        </w:tc>
        <w:tc>
          <w:tcPr>
            <w:tcW w:type="dxa" w:w="1440"/>
            <w:vAlign w:val="center"/>
          </w:tcPr>
          <w:p>
            <w:pPr>
              <w:spacing w:after="0"/>
              <w:jc w:val="center"/>
            </w:pPr>
            <w:r/>
            <w:r>
              <w:rPr>
                <w:rFonts w:ascii="Times New Roman" w:hAnsi="Times New Roman"/>
                <w:b w:val="0"/>
                <w:sz w:val="15"/>
              </w:rPr>
              <w:t>4/5</w:t>
            </w:r>
          </w:p>
        </w:tc>
      </w:tr>
      <w:tr>
        <w:tc>
          <w:tcPr>
            <w:tcW w:type="dxa" w:w="1440"/>
            <w:vAlign w:val="center"/>
          </w:tcPr>
          <w:p>
            <w:pPr>
              <w:spacing w:after="0"/>
              <w:jc w:val="center"/>
            </w:pPr>
            <w:r/>
            <w:r>
              <w:rPr>
                <w:rFonts w:ascii="Times New Roman" w:hAnsi="Times New Roman"/>
                <w:b w:val="0"/>
                <w:sz w:val="15"/>
              </w:rPr>
              <w:t>STDHNLPI</w:t>
            </w:r>
          </w:p>
        </w:tc>
        <w:tc>
          <w:tcPr>
            <w:tcW w:type="dxa" w:w="1296"/>
            <w:vAlign w:val="center"/>
          </w:tcPr>
          <w:p>
            <w:pPr>
              <w:spacing w:after="0"/>
              <w:jc w:val="center"/>
            </w:pPr>
            <w:r/>
            <w:r>
              <w:rPr>
                <w:rFonts w:ascii="Times New Roman" w:hAnsi="Times New Roman"/>
                <w:b w:val="0"/>
                <w:sz w:val="15"/>
              </w:rPr>
              <w:t>Cm20</w:t>
            </w:r>
          </w:p>
        </w:tc>
        <w:tc>
          <w:tcPr>
            <w:tcW w:type="dxa" w:w="648"/>
            <w:vAlign w:val="center"/>
          </w:tcPr>
          <w:p>
            <w:pPr>
              <w:spacing w:after="0"/>
              <w:jc w:val="center"/>
            </w:pPr>
            <w:r/>
            <w:r>
              <w:rPr>
                <w:rFonts w:ascii="Times New Roman" w:hAnsi="Times New Roman"/>
                <w:b w:val="0"/>
                <w:sz w:val="15"/>
              </w:rPr>
              <w:t>18</w:t>
            </w:r>
          </w:p>
        </w:tc>
        <w:tc>
          <w:tcPr>
            <w:tcW w:type="dxa" w:w="1152"/>
            <w:vAlign w:val="center"/>
          </w:tcPr>
          <w:p>
            <w:pPr>
              <w:spacing w:after="0"/>
              <w:jc w:val="center"/>
            </w:pPr>
            <w:r/>
            <w:r>
              <w:rPr>
                <w:rFonts w:ascii="Times New Roman" w:hAnsi="Times New Roman"/>
                <w:b w:val="0"/>
                <w:sz w:val="15"/>
              </w:rPr>
              <w:t>1.000</w:t>
            </w:r>
          </w:p>
        </w:tc>
        <w:tc>
          <w:tcPr>
            <w:tcW w:type="dxa" w:w="1800"/>
            <w:vAlign w:val="center"/>
          </w:tcPr>
          <w:p>
            <w:pPr>
              <w:spacing w:after="0"/>
              <w:jc w:val="center"/>
            </w:pPr>
            <w:r/>
            <w:r>
              <w:rPr>
                <w:rFonts w:ascii="Times New Roman" w:hAnsi="Times New Roman"/>
                <w:b w:val="0"/>
                <w:sz w:val="15"/>
              </w:rPr>
              <w:t>1.000-1.000</w:t>
            </w:r>
          </w:p>
        </w:tc>
        <w:tc>
          <w:tcPr>
            <w:tcW w:type="dxa" w:w="1224"/>
            <w:vAlign w:val="center"/>
          </w:tcPr>
          <w:p>
            <w:pPr>
              <w:spacing w:after="0"/>
              <w:jc w:val="center"/>
            </w:pPr>
            <w:r/>
            <w:r>
              <w:rPr>
                <w:rFonts w:ascii="Times New Roman" w:hAnsi="Times New Roman"/>
                <w:b w:val="0"/>
                <w:sz w:val="15"/>
              </w:rPr>
              <w:t>0.0051</w:t>
            </w:r>
          </w:p>
        </w:tc>
        <w:tc>
          <w:tcPr>
            <w:tcW w:type="dxa" w:w="1296"/>
            <w:vAlign w:val="center"/>
          </w:tcPr>
          <w:p>
            <w:pPr>
              <w:spacing w:after="0"/>
              <w:jc w:val="center"/>
            </w:pPr>
            <w:r/>
            <w:r>
              <w:rPr>
                <w:rFonts w:ascii="Times New Roman" w:hAnsi="Times New Roman"/>
                <w:b w:val="0"/>
                <w:sz w:val="15"/>
              </w:rPr>
              <w:t>0.0349</w:t>
            </w:r>
          </w:p>
        </w:tc>
        <w:tc>
          <w:tcPr>
            <w:tcW w:type="dxa" w:w="1656"/>
            <w:vAlign w:val="center"/>
          </w:tcPr>
          <w:p>
            <w:pPr>
              <w:spacing w:after="0"/>
              <w:jc w:val="center"/>
            </w:pPr>
            <w:r/>
            <w:r>
              <w:rPr>
                <w:rFonts w:ascii="Times New Roman" w:hAnsi="Times New Roman"/>
                <w:b w:val="0"/>
                <w:sz w:val="15"/>
              </w:rPr>
              <w:t>0.0</w:t>
            </w:r>
          </w:p>
        </w:tc>
        <w:tc>
          <w:tcPr>
            <w:tcW w:type="dxa" w:w="1440"/>
            <w:vAlign w:val="center"/>
          </w:tcPr>
          <w:p>
            <w:pPr>
              <w:spacing w:after="0"/>
              <w:jc w:val="center"/>
            </w:pPr>
            <w:r/>
            <w:r>
              <w:rPr>
                <w:rFonts w:ascii="Times New Roman" w:hAnsi="Times New Roman"/>
                <w:b w:val="0"/>
                <w:sz w:val="15"/>
              </w:rPr>
              <w:t>5/5</w:t>
            </w:r>
          </w:p>
        </w:tc>
      </w:tr>
      <w:tr>
        <w:tc>
          <w:tcPr>
            <w:tcW w:type="dxa" w:w="1440"/>
            <w:vAlign w:val="center"/>
          </w:tcPr>
          <w:p>
            <w:pPr>
              <w:spacing w:after="0"/>
              <w:jc w:val="center"/>
            </w:pPr>
            <w:r/>
            <w:r>
              <w:rPr>
                <w:rFonts w:ascii="Times New Roman" w:hAnsi="Times New Roman"/>
                <w:b w:val="0"/>
                <w:sz w:val="15"/>
              </w:rPr>
              <w:t>STDHNLPI</w:t>
            </w:r>
          </w:p>
        </w:tc>
        <w:tc>
          <w:tcPr>
            <w:tcW w:type="dxa" w:w="1296"/>
            <w:vAlign w:val="center"/>
          </w:tcPr>
          <w:p>
            <w:pPr>
              <w:spacing w:after="0"/>
              <w:jc w:val="center"/>
            </w:pPr>
            <w:r/>
            <w:r>
              <w:rPr>
                <w:rFonts w:ascii="Times New Roman" w:hAnsi="Times New Roman"/>
                <w:b w:val="0"/>
                <w:sz w:val="15"/>
              </w:rPr>
              <w:t>Cp20</w:t>
            </w:r>
          </w:p>
        </w:tc>
        <w:tc>
          <w:tcPr>
            <w:tcW w:type="dxa" w:w="648"/>
            <w:vAlign w:val="center"/>
          </w:tcPr>
          <w:p>
            <w:pPr>
              <w:spacing w:after="0"/>
              <w:jc w:val="center"/>
            </w:pPr>
            <w:r/>
            <w:r>
              <w:rPr>
                <w:rFonts w:ascii="Times New Roman" w:hAnsi="Times New Roman"/>
                <w:b w:val="0"/>
                <w:sz w:val="15"/>
              </w:rPr>
              <w:t>18</w:t>
            </w:r>
          </w:p>
        </w:tc>
        <w:tc>
          <w:tcPr>
            <w:tcW w:type="dxa" w:w="1152"/>
            <w:vAlign w:val="center"/>
          </w:tcPr>
          <w:p>
            <w:pPr>
              <w:spacing w:after="0"/>
              <w:jc w:val="center"/>
            </w:pPr>
            <w:r/>
            <w:r>
              <w:rPr>
                <w:rFonts w:ascii="Times New Roman" w:hAnsi="Times New Roman"/>
                <w:b w:val="0"/>
                <w:sz w:val="15"/>
              </w:rPr>
              <w:t>0.989</w:t>
            </w:r>
          </w:p>
        </w:tc>
        <w:tc>
          <w:tcPr>
            <w:tcW w:type="dxa" w:w="1800"/>
            <w:vAlign w:val="center"/>
          </w:tcPr>
          <w:p>
            <w:pPr>
              <w:spacing w:after="0"/>
              <w:jc w:val="center"/>
            </w:pPr>
            <w:r/>
            <w:r>
              <w:rPr>
                <w:rFonts w:ascii="Times New Roman" w:hAnsi="Times New Roman"/>
                <w:b w:val="0"/>
                <w:sz w:val="15"/>
              </w:rPr>
              <w:t>0.935-1.000</w:t>
            </w:r>
          </w:p>
        </w:tc>
        <w:tc>
          <w:tcPr>
            <w:tcW w:type="dxa" w:w="1224"/>
            <w:vAlign w:val="center"/>
          </w:tcPr>
          <w:p>
            <w:pPr>
              <w:spacing w:after="0"/>
              <w:jc w:val="center"/>
            </w:pPr>
            <w:r/>
            <w:r>
              <w:rPr>
                <w:rFonts w:ascii="Times New Roman" w:hAnsi="Times New Roman"/>
                <w:b w:val="0"/>
                <w:sz w:val="15"/>
              </w:rPr>
              <w:t>0.0131</w:t>
            </w:r>
          </w:p>
        </w:tc>
        <w:tc>
          <w:tcPr>
            <w:tcW w:type="dxa" w:w="1296"/>
            <w:vAlign w:val="center"/>
          </w:tcPr>
          <w:p>
            <w:pPr>
              <w:spacing w:after="0"/>
              <w:jc w:val="center"/>
            </w:pPr>
            <w:r/>
            <w:r>
              <w:rPr>
                <w:rFonts w:ascii="Times New Roman" w:hAnsi="Times New Roman"/>
                <w:b w:val="0"/>
                <w:sz w:val="15"/>
              </w:rPr>
              <w:t>0.0702</w:t>
            </w:r>
          </w:p>
        </w:tc>
        <w:tc>
          <w:tcPr>
            <w:tcW w:type="dxa" w:w="1656"/>
            <w:vAlign w:val="center"/>
          </w:tcPr>
          <w:p>
            <w:pPr>
              <w:spacing w:after="0"/>
              <w:jc w:val="center"/>
            </w:pPr>
            <w:r/>
            <w:r>
              <w:rPr>
                <w:rFonts w:ascii="Times New Roman" w:hAnsi="Times New Roman"/>
                <w:b w:val="0"/>
                <w:sz w:val="15"/>
              </w:rPr>
              <w:t>2.0</w:t>
            </w:r>
          </w:p>
        </w:tc>
        <w:tc>
          <w:tcPr>
            <w:tcW w:type="dxa" w:w="1440"/>
            <w:vAlign w:val="center"/>
          </w:tcPr>
          <w:p>
            <w:pPr>
              <w:spacing w:after="0"/>
              <w:jc w:val="center"/>
            </w:pPr>
            <w:r/>
            <w:r>
              <w:rPr>
                <w:rFonts w:ascii="Times New Roman" w:hAnsi="Times New Roman"/>
                <w:b w:val="0"/>
                <w:sz w:val="15"/>
              </w:rPr>
              <w:t>5/5</w:t>
            </w:r>
          </w:p>
        </w:tc>
      </w:tr>
      <w:tr>
        <w:tc>
          <w:tcPr>
            <w:tcW w:type="dxa" w:w="1440"/>
            <w:vAlign w:val="center"/>
          </w:tcPr>
          <w:p>
            <w:pPr>
              <w:spacing w:after="0"/>
              <w:jc w:val="center"/>
            </w:pPr>
            <w:r/>
            <w:r>
              <w:rPr>
                <w:rFonts w:ascii="Times New Roman" w:hAnsi="Times New Roman"/>
                <w:b w:val="0"/>
                <w:sz w:val="15"/>
              </w:rPr>
              <w:t>ELS</w:t>
            </w:r>
          </w:p>
        </w:tc>
        <w:tc>
          <w:tcPr>
            <w:tcW w:type="dxa" w:w="1296"/>
            <w:vAlign w:val="center"/>
          </w:tcPr>
          <w:p>
            <w:pPr>
              <w:spacing w:after="0"/>
              <w:jc w:val="center"/>
            </w:pPr>
            <w:r/>
            <w:r>
              <w:rPr>
                <w:rFonts w:ascii="Times New Roman" w:hAnsi="Times New Roman"/>
                <w:b w:val="0"/>
                <w:sz w:val="15"/>
              </w:rPr>
              <w:t>Cm20</w:t>
            </w:r>
          </w:p>
        </w:tc>
        <w:tc>
          <w:tcPr>
            <w:tcW w:type="dxa" w:w="648"/>
            <w:vAlign w:val="center"/>
          </w:tcPr>
          <w:p>
            <w:pPr>
              <w:spacing w:after="0"/>
              <w:jc w:val="center"/>
            </w:pPr>
            <w:r/>
            <w:r>
              <w:rPr>
                <w:rFonts w:ascii="Times New Roman" w:hAnsi="Times New Roman"/>
                <w:b w:val="0"/>
                <w:sz w:val="15"/>
              </w:rPr>
              <w:t>12</w:t>
            </w:r>
          </w:p>
        </w:tc>
        <w:tc>
          <w:tcPr>
            <w:tcW w:type="dxa" w:w="1152"/>
            <w:vAlign w:val="center"/>
          </w:tcPr>
          <w:p>
            <w:pPr>
              <w:spacing w:after="0"/>
              <w:jc w:val="center"/>
            </w:pPr>
            <w:r/>
            <w:r>
              <w:rPr>
                <w:rFonts w:ascii="Times New Roman" w:hAnsi="Times New Roman"/>
                <w:b w:val="0"/>
                <w:sz w:val="15"/>
              </w:rPr>
              <w:t>0.909</w:t>
            </w:r>
          </w:p>
        </w:tc>
        <w:tc>
          <w:tcPr>
            <w:tcW w:type="dxa" w:w="1800"/>
            <w:vAlign w:val="center"/>
          </w:tcPr>
          <w:p>
            <w:pPr>
              <w:spacing w:after="0"/>
              <w:jc w:val="center"/>
            </w:pPr>
            <w:r/>
            <w:r>
              <w:rPr>
                <w:rFonts w:ascii="Times New Roman" w:hAnsi="Times New Roman"/>
                <w:b w:val="0"/>
                <w:sz w:val="15"/>
              </w:rPr>
              <w:t>0.631-1.000</w:t>
            </w:r>
          </w:p>
        </w:tc>
        <w:tc>
          <w:tcPr>
            <w:tcW w:type="dxa" w:w="1224"/>
            <w:vAlign w:val="center"/>
          </w:tcPr>
          <w:p>
            <w:pPr>
              <w:spacing w:after="0"/>
              <w:jc w:val="center"/>
            </w:pPr>
            <w:r/>
            <w:r>
              <w:rPr>
                <w:rFonts w:ascii="Times New Roman" w:hAnsi="Times New Roman"/>
                <w:b w:val="0"/>
                <w:sz w:val="15"/>
              </w:rPr>
              <w:t>0.0192</w:t>
            </w:r>
          </w:p>
        </w:tc>
        <w:tc>
          <w:tcPr>
            <w:tcW w:type="dxa" w:w="1296"/>
            <w:vAlign w:val="center"/>
          </w:tcPr>
          <w:p>
            <w:pPr>
              <w:spacing w:after="0"/>
              <w:jc w:val="center"/>
            </w:pPr>
            <w:r/>
            <w:r>
              <w:rPr>
                <w:rFonts w:ascii="Times New Roman" w:hAnsi="Times New Roman"/>
                <w:b w:val="0"/>
                <w:sz w:val="15"/>
              </w:rPr>
              <w:t>0.0382</w:t>
            </w:r>
          </w:p>
        </w:tc>
        <w:tc>
          <w:tcPr>
            <w:tcW w:type="dxa" w:w="1656"/>
            <w:vAlign w:val="center"/>
          </w:tcPr>
          <w:p>
            <w:pPr>
              <w:spacing w:after="0"/>
              <w:jc w:val="center"/>
            </w:pPr>
            <w:r/>
            <w:r>
              <w:rPr>
                <w:rFonts w:ascii="Times New Roman" w:hAnsi="Times New Roman"/>
                <w:b w:val="0"/>
                <w:sz w:val="15"/>
              </w:rPr>
              <w:t>3.0</w:t>
            </w:r>
          </w:p>
        </w:tc>
        <w:tc>
          <w:tcPr>
            <w:tcW w:type="dxa" w:w="1440"/>
            <w:vAlign w:val="center"/>
          </w:tcPr>
          <w:p>
            <w:pPr>
              <w:spacing w:after="0"/>
              <w:jc w:val="center"/>
            </w:pPr>
            <w:r/>
            <w:r>
              <w:rPr>
                <w:rFonts w:ascii="Times New Roman" w:hAnsi="Times New Roman"/>
                <w:b w:val="0"/>
                <w:sz w:val="15"/>
              </w:rPr>
              <w:t>4/5</w:t>
            </w:r>
          </w:p>
        </w:tc>
      </w:tr>
      <w:tr>
        <w:tc>
          <w:tcPr>
            <w:tcW w:type="dxa" w:w="1440"/>
            <w:vAlign w:val="center"/>
          </w:tcPr>
          <w:p>
            <w:pPr>
              <w:spacing w:after="0"/>
              <w:jc w:val="center"/>
            </w:pPr>
            <w:r/>
            <w:r>
              <w:rPr>
                <w:rFonts w:ascii="Times New Roman" w:hAnsi="Times New Roman"/>
                <w:b w:val="0"/>
                <w:sz w:val="15"/>
              </w:rPr>
              <w:t>ELS</w:t>
            </w:r>
          </w:p>
        </w:tc>
        <w:tc>
          <w:tcPr>
            <w:tcW w:type="dxa" w:w="1296"/>
            <w:vAlign w:val="center"/>
          </w:tcPr>
          <w:p>
            <w:pPr>
              <w:spacing w:after="0"/>
              <w:jc w:val="center"/>
            </w:pPr>
            <w:r/>
            <w:r>
              <w:rPr>
                <w:rFonts w:ascii="Times New Roman" w:hAnsi="Times New Roman"/>
                <w:b w:val="0"/>
                <w:sz w:val="15"/>
              </w:rPr>
              <w:t>Cp20</w:t>
            </w:r>
          </w:p>
        </w:tc>
        <w:tc>
          <w:tcPr>
            <w:tcW w:type="dxa" w:w="648"/>
            <w:vAlign w:val="center"/>
          </w:tcPr>
          <w:p>
            <w:pPr>
              <w:spacing w:after="0"/>
              <w:jc w:val="center"/>
            </w:pPr>
            <w:r/>
            <w:r>
              <w:rPr>
                <w:rFonts w:ascii="Times New Roman" w:hAnsi="Times New Roman"/>
                <w:b w:val="0"/>
                <w:sz w:val="15"/>
              </w:rPr>
              <w:t>12</w:t>
            </w:r>
          </w:p>
        </w:tc>
        <w:tc>
          <w:tcPr>
            <w:tcW w:type="dxa" w:w="1152"/>
            <w:vAlign w:val="center"/>
          </w:tcPr>
          <w:p>
            <w:pPr>
              <w:spacing w:after="0"/>
              <w:jc w:val="center"/>
            </w:pPr>
            <w:r/>
            <w:r>
              <w:rPr>
                <w:rFonts w:ascii="Times New Roman" w:hAnsi="Times New Roman"/>
                <w:b w:val="0"/>
                <w:sz w:val="15"/>
              </w:rPr>
              <w:t>0.878</w:t>
            </w:r>
          </w:p>
        </w:tc>
        <w:tc>
          <w:tcPr>
            <w:tcW w:type="dxa" w:w="1800"/>
            <w:vAlign w:val="center"/>
          </w:tcPr>
          <w:p>
            <w:pPr>
              <w:spacing w:after="0"/>
              <w:jc w:val="center"/>
            </w:pPr>
            <w:r/>
            <w:r>
              <w:rPr>
                <w:rFonts w:ascii="Times New Roman" w:hAnsi="Times New Roman"/>
                <w:b w:val="0"/>
                <w:sz w:val="15"/>
              </w:rPr>
              <w:t>0.557-1.000</w:t>
            </w:r>
          </w:p>
        </w:tc>
        <w:tc>
          <w:tcPr>
            <w:tcW w:type="dxa" w:w="1224"/>
            <w:vAlign w:val="center"/>
          </w:tcPr>
          <w:p>
            <w:pPr>
              <w:spacing w:after="0"/>
              <w:jc w:val="center"/>
            </w:pPr>
            <w:r/>
            <w:r>
              <w:rPr>
                <w:rFonts w:ascii="Times New Roman" w:hAnsi="Times New Roman"/>
                <w:b w:val="0"/>
                <w:sz w:val="15"/>
              </w:rPr>
              <w:t>0.0110</w:t>
            </w:r>
          </w:p>
        </w:tc>
        <w:tc>
          <w:tcPr>
            <w:tcW w:type="dxa" w:w="1296"/>
            <w:vAlign w:val="center"/>
          </w:tcPr>
          <w:p>
            <w:pPr>
              <w:spacing w:after="0"/>
              <w:jc w:val="center"/>
            </w:pPr>
            <w:r/>
            <w:r>
              <w:rPr>
                <w:rFonts w:ascii="Times New Roman" w:hAnsi="Times New Roman"/>
                <w:b w:val="0"/>
                <w:sz w:val="15"/>
              </w:rPr>
              <w:t>0.0357</w:t>
            </w:r>
          </w:p>
        </w:tc>
        <w:tc>
          <w:tcPr>
            <w:tcW w:type="dxa" w:w="1656"/>
            <w:vAlign w:val="center"/>
          </w:tcPr>
          <w:p>
            <w:pPr>
              <w:spacing w:after="0"/>
              <w:jc w:val="center"/>
            </w:pPr>
            <w:r/>
            <w:r>
              <w:rPr>
                <w:rFonts w:ascii="Times New Roman" w:hAnsi="Times New Roman"/>
                <w:b w:val="0"/>
                <w:sz w:val="15"/>
              </w:rPr>
              <w:t>4.5</w:t>
            </w:r>
          </w:p>
        </w:tc>
        <w:tc>
          <w:tcPr>
            <w:tcW w:type="dxa" w:w="1440"/>
            <w:vAlign w:val="center"/>
          </w:tcPr>
          <w:p>
            <w:pPr>
              <w:spacing w:after="0"/>
              <w:jc w:val="center"/>
            </w:pPr>
            <w:r/>
            <w:r>
              <w:rPr>
                <w:rFonts w:ascii="Times New Roman" w:hAnsi="Times New Roman"/>
                <w:b w:val="0"/>
                <w:sz w:val="15"/>
              </w:rPr>
              <w:t>4/5</w:t>
            </w:r>
          </w:p>
        </w:tc>
      </w:tr>
      <w:tr>
        <w:tc>
          <w:tcPr>
            <w:tcW w:type="dxa" w:w="1440"/>
            <w:vAlign w:val="center"/>
          </w:tcPr>
          <w:p>
            <w:pPr>
              <w:spacing w:after="0"/>
              <w:jc w:val="center"/>
            </w:pPr>
            <w:r/>
            <w:r>
              <w:rPr>
                <w:rFonts w:ascii="Times New Roman" w:hAnsi="Times New Roman"/>
                <w:b w:val="0"/>
                <w:sz w:val="15"/>
              </w:rPr>
              <w:t>HER</w:t>
            </w:r>
          </w:p>
        </w:tc>
        <w:tc>
          <w:tcPr>
            <w:tcW w:type="dxa" w:w="1296"/>
            <w:vAlign w:val="center"/>
          </w:tcPr>
          <w:p>
            <w:pPr>
              <w:spacing w:after="0"/>
              <w:jc w:val="center"/>
            </w:pPr>
            <w:r/>
            <w:r>
              <w:rPr>
                <w:rFonts w:ascii="Times New Roman" w:hAnsi="Times New Roman"/>
                <w:b w:val="0"/>
                <w:sz w:val="15"/>
              </w:rPr>
              <w:t>Cm20</w:t>
            </w:r>
          </w:p>
        </w:tc>
        <w:tc>
          <w:tcPr>
            <w:tcW w:type="dxa" w:w="648"/>
            <w:vAlign w:val="center"/>
          </w:tcPr>
          <w:p>
            <w:pPr>
              <w:spacing w:after="0"/>
              <w:jc w:val="center"/>
            </w:pPr>
            <w:r/>
            <w:r>
              <w:rPr>
                <w:rFonts w:ascii="Times New Roman" w:hAnsi="Times New Roman"/>
                <w:b w:val="0"/>
                <w:sz w:val="15"/>
              </w:rPr>
              <w:t>18</w:t>
            </w:r>
          </w:p>
        </w:tc>
        <w:tc>
          <w:tcPr>
            <w:tcW w:type="dxa" w:w="1152"/>
            <w:vAlign w:val="center"/>
          </w:tcPr>
          <w:p>
            <w:pPr>
              <w:spacing w:after="0"/>
              <w:jc w:val="center"/>
            </w:pPr>
            <w:r/>
            <w:r>
              <w:rPr>
                <w:rFonts w:ascii="Times New Roman" w:hAnsi="Times New Roman"/>
                <w:b w:val="0"/>
                <w:sz w:val="15"/>
              </w:rPr>
              <w:t>0.995</w:t>
            </w:r>
          </w:p>
        </w:tc>
        <w:tc>
          <w:tcPr>
            <w:tcW w:type="dxa" w:w="1800"/>
            <w:vAlign w:val="center"/>
          </w:tcPr>
          <w:p>
            <w:pPr>
              <w:spacing w:after="0"/>
              <w:jc w:val="center"/>
            </w:pPr>
            <w:r/>
            <w:r>
              <w:rPr>
                <w:rFonts w:ascii="Times New Roman" w:hAnsi="Times New Roman"/>
                <w:b w:val="0"/>
                <w:sz w:val="15"/>
              </w:rPr>
              <w:t>0.959-1.000</w:t>
            </w:r>
          </w:p>
        </w:tc>
        <w:tc>
          <w:tcPr>
            <w:tcW w:type="dxa" w:w="1224"/>
            <w:vAlign w:val="center"/>
          </w:tcPr>
          <w:p>
            <w:pPr>
              <w:spacing w:after="0"/>
              <w:jc w:val="center"/>
            </w:pPr>
            <w:r/>
            <w:r>
              <w:rPr>
                <w:rFonts w:ascii="Times New Roman" w:hAnsi="Times New Roman"/>
                <w:b w:val="0"/>
                <w:sz w:val="15"/>
              </w:rPr>
              <w:t>0.0048</w:t>
            </w:r>
          </w:p>
        </w:tc>
        <w:tc>
          <w:tcPr>
            <w:tcW w:type="dxa" w:w="1296"/>
            <w:vAlign w:val="center"/>
          </w:tcPr>
          <w:p>
            <w:pPr>
              <w:spacing w:after="0"/>
              <w:jc w:val="center"/>
            </w:pPr>
            <w:r/>
            <w:r>
              <w:rPr>
                <w:rFonts w:ascii="Times New Roman" w:hAnsi="Times New Roman"/>
                <w:b w:val="0"/>
                <w:sz w:val="15"/>
              </w:rPr>
              <w:t>0.0697</w:t>
            </w:r>
          </w:p>
        </w:tc>
        <w:tc>
          <w:tcPr>
            <w:tcW w:type="dxa" w:w="1656"/>
            <w:vAlign w:val="center"/>
          </w:tcPr>
          <w:p>
            <w:pPr>
              <w:spacing w:after="0"/>
              <w:jc w:val="center"/>
            </w:pPr>
            <w:r/>
            <w:r>
              <w:rPr>
                <w:rFonts w:ascii="Times New Roman" w:hAnsi="Times New Roman"/>
                <w:b w:val="0"/>
                <w:sz w:val="15"/>
              </w:rPr>
              <w:t>1.0</w:t>
            </w:r>
          </w:p>
        </w:tc>
        <w:tc>
          <w:tcPr>
            <w:tcW w:type="dxa" w:w="1440"/>
            <w:vAlign w:val="center"/>
          </w:tcPr>
          <w:p>
            <w:pPr>
              <w:spacing w:after="0"/>
              <w:jc w:val="center"/>
            </w:pPr>
            <w:r/>
            <w:r>
              <w:rPr>
                <w:rFonts w:ascii="Times New Roman" w:hAnsi="Times New Roman"/>
                <w:b w:val="0"/>
                <w:sz w:val="15"/>
              </w:rPr>
              <w:t>5/5</w:t>
            </w:r>
          </w:p>
        </w:tc>
      </w:tr>
      <w:tr>
        <w:tc>
          <w:tcPr>
            <w:tcW w:type="dxa" w:w="1440"/>
            <w:vAlign w:val="center"/>
          </w:tcPr>
          <w:p>
            <w:pPr>
              <w:spacing w:after="0"/>
              <w:jc w:val="center"/>
            </w:pPr>
            <w:r/>
            <w:r>
              <w:rPr>
                <w:rFonts w:ascii="Times New Roman" w:hAnsi="Times New Roman"/>
                <w:b w:val="0"/>
                <w:sz w:val="15"/>
              </w:rPr>
              <w:t>HER</w:t>
            </w:r>
          </w:p>
        </w:tc>
        <w:tc>
          <w:tcPr>
            <w:tcW w:type="dxa" w:w="1296"/>
            <w:vAlign w:val="center"/>
          </w:tcPr>
          <w:p>
            <w:pPr>
              <w:spacing w:after="0"/>
              <w:jc w:val="center"/>
            </w:pPr>
            <w:r/>
            <w:r>
              <w:rPr>
                <w:rFonts w:ascii="Times New Roman" w:hAnsi="Times New Roman"/>
                <w:b w:val="0"/>
                <w:sz w:val="15"/>
              </w:rPr>
              <w:t>Cp20</w:t>
            </w:r>
          </w:p>
        </w:tc>
        <w:tc>
          <w:tcPr>
            <w:tcW w:type="dxa" w:w="648"/>
            <w:vAlign w:val="center"/>
          </w:tcPr>
          <w:p>
            <w:pPr>
              <w:spacing w:after="0"/>
              <w:jc w:val="center"/>
            </w:pPr>
            <w:r/>
            <w:r>
              <w:rPr>
                <w:rFonts w:ascii="Times New Roman" w:hAnsi="Times New Roman"/>
                <w:b w:val="0"/>
                <w:sz w:val="15"/>
              </w:rPr>
              <w:t>18</w:t>
            </w:r>
          </w:p>
        </w:tc>
        <w:tc>
          <w:tcPr>
            <w:tcW w:type="dxa" w:w="1152"/>
            <w:vAlign w:val="center"/>
          </w:tcPr>
          <w:p>
            <w:pPr>
              <w:spacing w:after="0"/>
              <w:jc w:val="center"/>
            </w:pPr>
            <w:r/>
            <w:r>
              <w:rPr>
                <w:rFonts w:ascii="Times New Roman" w:hAnsi="Times New Roman"/>
                <w:b w:val="0"/>
                <w:sz w:val="15"/>
              </w:rPr>
              <w:t>0.995</w:t>
            </w:r>
          </w:p>
        </w:tc>
        <w:tc>
          <w:tcPr>
            <w:tcW w:type="dxa" w:w="1800"/>
            <w:vAlign w:val="center"/>
          </w:tcPr>
          <w:p>
            <w:pPr>
              <w:spacing w:after="0"/>
              <w:jc w:val="center"/>
            </w:pPr>
            <w:r/>
            <w:r>
              <w:rPr>
                <w:rFonts w:ascii="Times New Roman" w:hAnsi="Times New Roman"/>
                <w:b w:val="0"/>
                <w:sz w:val="15"/>
              </w:rPr>
              <w:t>0.956-1.000</w:t>
            </w:r>
          </w:p>
        </w:tc>
        <w:tc>
          <w:tcPr>
            <w:tcW w:type="dxa" w:w="1224"/>
            <w:vAlign w:val="center"/>
          </w:tcPr>
          <w:p>
            <w:pPr>
              <w:spacing w:after="0"/>
              <w:jc w:val="center"/>
            </w:pPr>
            <w:r/>
            <w:r>
              <w:rPr>
                <w:rFonts w:ascii="Times New Roman" w:hAnsi="Times New Roman"/>
                <w:b w:val="0"/>
                <w:sz w:val="15"/>
              </w:rPr>
              <w:t>0.0023</w:t>
            </w:r>
          </w:p>
        </w:tc>
        <w:tc>
          <w:tcPr>
            <w:tcW w:type="dxa" w:w="1296"/>
            <w:vAlign w:val="center"/>
          </w:tcPr>
          <w:p>
            <w:pPr>
              <w:spacing w:after="0"/>
              <w:jc w:val="center"/>
            </w:pPr>
            <w:r/>
            <w:r>
              <w:rPr>
                <w:rFonts w:ascii="Times New Roman" w:hAnsi="Times New Roman"/>
                <w:b w:val="0"/>
                <w:sz w:val="15"/>
              </w:rPr>
              <w:t>0.0349</w:t>
            </w:r>
          </w:p>
        </w:tc>
        <w:tc>
          <w:tcPr>
            <w:tcW w:type="dxa" w:w="1656"/>
            <w:vAlign w:val="center"/>
          </w:tcPr>
          <w:p>
            <w:pPr>
              <w:spacing w:after="0"/>
              <w:jc w:val="center"/>
            </w:pPr>
            <w:r/>
            <w:r>
              <w:rPr>
                <w:rFonts w:ascii="Times New Roman" w:hAnsi="Times New Roman"/>
                <w:b w:val="0"/>
                <w:sz w:val="15"/>
              </w:rPr>
              <w:t>1.0</w:t>
            </w:r>
          </w:p>
        </w:tc>
        <w:tc>
          <w:tcPr>
            <w:tcW w:type="dxa" w:w="1440"/>
            <w:vAlign w:val="center"/>
          </w:tcPr>
          <w:p>
            <w:pPr>
              <w:spacing w:after="0"/>
              <w:jc w:val="center"/>
            </w:pPr>
            <w:r/>
            <w:r>
              <w:rPr>
                <w:rFonts w:ascii="Times New Roman" w:hAnsi="Times New Roman"/>
                <w:b w:val="0"/>
                <w:sz w:val="15"/>
              </w:rPr>
              <w:t>5/5</w:t>
            </w:r>
          </w:p>
        </w:tc>
      </w:tr>
    </w:tbl>
    <w:p>
      <w:pPr>
        <w:spacing w:after="0"/>
      </w:pPr>
    </w:p>
    <w:p>
      <w:pPr>
        <w:spacing w:after="80" w:line="252" w:lineRule="auto"/>
      </w:pPr>
      <w:r>
        <w:rPr>
          <w:rFonts w:ascii="Times New Roman" w:hAnsi="Times New Roman"/>
          <w:sz w:val="20"/>
        </w:rPr>
        <w:t>Note: ELS analyses included only the 12 habitat-use units with detectable ALAN coverage under both compared schemes. Top-five overlap refers to the metric-specific five highest units.</w:t>
      </w:r>
    </w:p>
    <w:p>
      <w:pPr>
        <w:pStyle w:val="Heading1"/>
        <w:spacing w:before="160" w:after="80"/>
      </w:pPr>
      <w:r>
        <w:rPr>
          <w:rFonts w:ascii="Times New Roman" w:hAnsi="Times New Roman"/>
          <w:color w:val="000000"/>
        </w:rPr>
        <w:t>Table S3. Exact key-versus-temporary stopover comparisons across threshold schemes</w:t>
      </w:r>
    </w:p>
    <w:tbl>
      <w:tblPr>
        <w:tblStyle w:val="TableGrid"/>
        <w:tblW w:type="auto" w:w="0"/>
        <w:jc w:val="center"/>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080"/>
            <w:vAlign w:val="center"/>
            <w:shd w:fill="D9E1F2"/>
          </w:tcPr>
          <w:p>
            <w:pPr>
              <w:spacing w:after="0"/>
              <w:jc w:val="center"/>
            </w:pPr>
            <w:r/>
            <w:r>
              <w:rPr>
                <w:rFonts w:ascii="Times New Roman" w:hAnsi="Times New Roman"/>
                <w:b/>
                <w:sz w:val="15"/>
              </w:rPr>
              <w:t>Scenario</w:t>
            </w:r>
          </w:p>
        </w:tc>
        <w:tc>
          <w:tcPr>
            <w:tcW w:type="dxa" w:w="1296"/>
            <w:vAlign w:val="center"/>
            <w:shd w:fill="D9E1F2"/>
          </w:tcPr>
          <w:p>
            <w:pPr>
              <w:spacing w:after="0"/>
              <w:jc w:val="center"/>
            </w:pPr>
            <w:r/>
            <w:r>
              <w:rPr>
                <w:rFonts w:ascii="Times New Roman" w:hAnsi="Times New Roman"/>
                <w:b/>
                <w:sz w:val="15"/>
              </w:rPr>
              <w:t>Metric</w:t>
            </w:r>
          </w:p>
        </w:tc>
        <w:tc>
          <w:tcPr>
            <w:tcW w:type="dxa" w:w="936"/>
            <w:vAlign w:val="center"/>
            <w:shd w:fill="D9E1F2"/>
          </w:tcPr>
          <w:p>
            <w:pPr>
              <w:spacing w:after="0"/>
              <w:jc w:val="center"/>
            </w:pPr>
            <w:r/>
            <w:r>
              <w:rPr>
                <w:rFonts w:ascii="Times New Roman" w:hAnsi="Times New Roman"/>
                <w:b/>
                <w:sz w:val="15"/>
              </w:rPr>
              <w:t>N key</w:t>
            </w:r>
          </w:p>
        </w:tc>
        <w:tc>
          <w:tcPr>
            <w:tcW w:type="dxa" w:w="1224"/>
            <w:vAlign w:val="center"/>
            <w:shd w:fill="D9E1F2"/>
          </w:tcPr>
          <w:p>
            <w:pPr>
              <w:spacing w:after="0"/>
              <w:jc w:val="center"/>
            </w:pPr>
            <w:r/>
            <w:r>
              <w:rPr>
                <w:rFonts w:ascii="Times New Roman" w:hAnsi="Times New Roman"/>
                <w:b/>
                <w:sz w:val="15"/>
              </w:rPr>
              <w:t>N temporary</w:t>
            </w:r>
          </w:p>
        </w:tc>
        <w:tc>
          <w:tcPr>
            <w:tcW w:type="dxa" w:w="1296"/>
            <w:vAlign w:val="center"/>
            <w:shd w:fill="D9E1F2"/>
          </w:tcPr>
          <w:p>
            <w:pPr>
              <w:spacing w:after="0"/>
              <w:jc w:val="center"/>
            </w:pPr>
            <w:r/>
            <w:r>
              <w:rPr>
                <w:rFonts w:ascii="Times New Roman" w:hAnsi="Times New Roman"/>
                <w:b/>
                <w:sz w:val="15"/>
              </w:rPr>
              <w:t>Median key</w:t>
            </w:r>
          </w:p>
        </w:tc>
        <w:tc>
          <w:tcPr>
            <w:tcW w:type="dxa" w:w="1440"/>
            <w:vAlign w:val="center"/>
            <w:shd w:fill="D9E1F2"/>
          </w:tcPr>
          <w:p>
            <w:pPr>
              <w:spacing w:after="0"/>
              <w:jc w:val="center"/>
            </w:pPr>
            <w:r/>
            <w:r>
              <w:rPr>
                <w:rFonts w:ascii="Times New Roman" w:hAnsi="Times New Roman"/>
                <w:b/>
                <w:sz w:val="15"/>
              </w:rPr>
              <w:t>Median temporary</w:t>
            </w:r>
          </w:p>
        </w:tc>
        <w:tc>
          <w:tcPr>
            <w:tcW w:type="dxa" w:w="1728"/>
            <w:vAlign w:val="center"/>
            <w:shd w:fill="D9E1F2"/>
          </w:tcPr>
          <w:p>
            <w:pPr>
              <w:spacing w:after="0"/>
              <w:jc w:val="center"/>
            </w:pPr>
            <w:r/>
            <w:r>
              <w:rPr>
                <w:rFonts w:ascii="Times New Roman" w:hAnsi="Times New Roman"/>
                <w:b/>
                <w:sz w:val="15"/>
              </w:rPr>
              <w:t>Exact permutation p</w:t>
            </w:r>
          </w:p>
        </w:tc>
        <w:tc>
          <w:tcPr>
            <w:tcW w:type="dxa" w:w="1440"/>
            <w:vAlign w:val="center"/>
            <w:shd w:fill="D9E1F2"/>
          </w:tcPr>
          <w:p>
            <w:pPr>
              <w:spacing w:after="0"/>
              <w:jc w:val="center"/>
            </w:pPr>
            <w:r/>
            <w:r>
              <w:rPr>
                <w:rFonts w:ascii="Times New Roman" w:hAnsi="Times New Roman"/>
                <w:b/>
                <w:sz w:val="15"/>
              </w:rPr>
              <w:t>Rank-biserial r</w:t>
            </w:r>
          </w:p>
        </w:tc>
        <w:tc>
          <w:tcPr>
            <w:tcW w:type="dxa" w:w="1440"/>
            <w:vAlign w:val="center"/>
            <w:shd w:fill="D9E1F2"/>
          </w:tcPr>
          <w:p>
            <w:pPr>
              <w:spacing w:after="0"/>
              <w:jc w:val="center"/>
            </w:pPr>
            <w:r/>
            <w:r>
              <w:rPr>
                <w:rFonts w:ascii="Times New Roman" w:hAnsi="Times New Roman"/>
                <w:b/>
                <w:sz w:val="15"/>
              </w:rPr>
              <w:t>BH q (baseline)</w:t>
            </w:r>
          </w:p>
        </w:tc>
      </w:tr>
      <w:tr>
        <w:tc>
          <w:tcPr>
            <w:tcW w:type="dxa" w:w="1080"/>
            <w:vAlign w:val="center"/>
          </w:tcPr>
          <w:p>
            <w:pPr>
              <w:spacing w:after="0"/>
              <w:jc w:val="center"/>
            </w:pPr>
            <w:r/>
            <w:r>
              <w:rPr>
                <w:rFonts w:ascii="Times New Roman" w:hAnsi="Times New Roman"/>
                <w:b w:val="0"/>
                <w:sz w:val="15"/>
              </w:rPr>
              <w:t>Cm20</w:t>
            </w:r>
          </w:p>
        </w:tc>
        <w:tc>
          <w:tcPr>
            <w:tcW w:type="dxa" w:w="1296"/>
            <w:vAlign w:val="center"/>
          </w:tcPr>
          <w:p>
            <w:pPr>
              <w:spacing w:after="0"/>
              <w:jc w:val="center"/>
            </w:pPr>
            <w:r/>
            <w:r>
              <w:rPr>
                <w:rFonts w:ascii="Times New Roman" w:hAnsi="Times New Roman"/>
                <w:b w:val="0"/>
                <w:sz w:val="15"/>
              </w:rPr>
              <w:t>PCR</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0.1075</w:t>
            </w:r>
          </w:p>
        </w:tc>
        <w:tc>
          <w:tcPr>
            <w:tcW w:type="dxa" w:w="1440"/>
            <w:vAlign w:val="center"/>
          </w:tcPr>
          <w:p>
            <w:pPr>
              <w:spacing w:after="0"/>
              <w:jc w:val="center"/>
            </w:pPr>
            <w:r/>
            <w:r>
              <w:rPr>
                <w:rFonts w:ascii="Times New Roman" w:hAnsi="Times New Roman"/>
                <w:b w:val="0"/>
                <w:sz w:val="15"/>
              </w:rPr>
              <w:t>0.0047</w:t>
            </w:r>
          </w:p>
        </w:tc>
        <w:tc>
          <w:tcPr>
            <w:tcW w:type="dxa" w:w="1728"/>
            <w:vAlign w:val="center"/>
          </w:tcPr>
          <w:p>
            <w:pPr>
              <w:spacing w:after="0"/>
              <w:jc w:val="center"/>
            </w:pPr>
            <w:r/>
            <w:r>
              <w:rPr>
                <w:rFonts w:ascii="Times New Roman" w:hAnsi="Times New Roman"/>
                <w:b w:val="0"/>
                <w:sz w:val="15"/>
              </w:rPr>
              <w:t>0.0141</w:t>
            </w:r>
          </w:p>
        </w:tc>
        <w:tc>
          <w:tcPr>
            <w:tcW w:type="dxa" w:w="1440"/>
            <w:vAlign w:val="center"/>
          </w:tcPr>
          <w:p>
            <w:pPr>
              <w:spacing w:after="0"/>
              <w:jc w:val="center"/>
            </w:pPr>
            <w:r/>
            <w:r>
              <w:rPr>
                <w:rFonts w:ascii="Times New Roman" w:hAnsi="Times New Roman"/>
                <w:b w:val="0"/>
                <w:sz w:val="15"/>
              </w:rPr>
              <w:t>0.733</w:t>
            </w:r>
          </w:p>
        </w:tc>
        <w:tc>
          <w:tcPr>
            <w:tcW w:type="dxa" w:w="1440"/>
            <w:vAlign w:val="center"/>
          </w:tcPr>
          <w:p>
            <w:pPr>
              <w:spacing w:after="0"/>
              <w:jc w:val="center"/>
            </w:pPr>
            <w:r/>
            <w:r>
              <w:rPr>
                <w:rFonts w:ascii="Times New Roman" w:hAnsi="Times New Roman"/>
                <w:b w:val="0"/>
                <w:sz w:val="15"/>
              </w:rPr>
            </w:r>
          </w:p>
        </w:tc>
      </w:tr>
      <w:tr>
        <w:tc>
          <w:tcPr>
            <w:tcW w:type="dxa" w:w="1080"/>
            <w:vAlign w:val="center"/>
          </w:tcPr>
          <w:p>
            <w:pPr>
              <w:spacing w:after="0"/>
              <w:jc w:val="center"/>
            </w:pPr>
            <w:r/>
            <w:r>
              <w:rPr>
                <w:rFonts w:ascii="Times New Roman" w:hAnsi="Times New Roman"/>
                <w:b w:val="0"/>
                <w:sz w:val="15"/>
              </w:rPr>
              <w:t>Cm20</w:t>
            </w:r>
          </w:p>
        </w:tc>
        <w:tc>
          <w:tcPr>
            <w:tcW w:type="dxa" w:w="1296"/>
            <w:vAlign w:val="center"/>
          </w:tcPr>
          <w:p>
            <w:pPr>
              <w:spacing w:after="0"/>
              <w:jc w:val="center"/>
            </w:pPr>
            <w:r/>
            <w:r>
              <w:rPr>
                <w:rFonts w:ascii="Times New Roman" w:hAnsi="Times New Roman"/>
                <w:b w:val="0"/>
                <w:sz w:val="15"/>
              </w:rPr>
              <w:t>STDHNLPI</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0.0288</w:t>
            </w:r>
          </w:p>
        </w:tc>
        <w:tc>
          <w:tcPr>
            <w:tcW w:type="dxa" w:w="1440"/>
            <w:vAlign w:val="center"/>
          </w:tcPr>
          <w:p>
            <w:pPr>
              <w:spacing w:after="0"/>
              <w:jc w:val="center"/>
            </w:pPr>
            <w:r/>
            <w:r>
              <w:rPr>
                <w:rFonts w:ascii="Times New Roman" w:hAnsi="Times New Roman"/>
                <w:b w:val="0"/>
                <w:sz w:val="15"/>
              </w:rPr>
              <w:t>0.0014</w:t>
            </w:r>
          </w:p>
        </w:tc>
        <w:tc>
          <w:tcPr>
            <w:tcW w:type="dxa" w:w="1728"/>
            <w:vAlign w:val="center"/>
          </w:tcPr>
          <w:p>
            <w:pPr>
              <w:spacing w:after="0"/>
              <w:jc w:val="center"/>
            </w:pPr>
            <w:r/>
            <w:r>
              <w:rPr>
                <w:rFonts w:ascii="Times New Roman" w:hAnsi="Times New Roman"/>
                <w:b w:val="0"/>
                <w:sz w:val="15"/>
              </w:rPr>
              <w:t>0.0207</w:t>
            </w:r>
          </w:p>
        </w:tc>
        <w:tc>
          <w:tcPr>
            <w:tcW w:type="dxa" w:w="1440"/>
            <w:vAlign w:val="center"/>
          </w:tcPr>
          <w:p>
            <w:pPr>
              <w:spacing w:after="0"/>
              <w:jc w:val="center"/>
            </w:pPr>
            <w:r/>
            <w:r>
              <w:rPr>
                <w:rFonts w:ascii="Times New Roman" w:hAnsi="Times New Roman"/>
                <w:b w:val="0"/>
                <w:sz w:val="15"/>
              </w:rPr>
              <w:t>0.700</w:t>
            </w:r>
          </w:p>
        </w:tc>
        <w:tc>
          <w:tcPr>
            <w:tcW w:type="dxa" w:w="1440"/>
            <w:vAlign w:val="center"/>
          </w:tcPr>
          <w:p>
            <w:pPr>
              <w:spacing w:after="0"/>
              <w:jc w:val="center"/>
            </w:pPr>
            <w:r/>
            <w:r>
              <w:rPr>
                <w:rFonts w:ascii="Times New Roman" w:hAnsi="Times New Roman"/>
                <w:b w:val="0"/>
                <w:sz w:val="15"/>
              </w:rPr>
            </w:r>
          </w:p>
        </w:tc>
      </w:tr>
      <w:tr>
        <w:tc>
          <w:tcPr>
            <w:tcW w:type="dxa" w:w="1080"/>
            <w:vAlign w:val="center"/>
          </w:tcPr>
          <w:p>
            <w:pPr>
              <w:spacing w:after="0"/>
              <w:jc w:val="center"/>
            </w:pPr>
            <w:r/>
            <w:r>
              <w:rPr>
                <w:rFonts w:ascii="Times New Roman" w:hAnsi="Times New Roman"/>
                <w:b w:val="0"/>
                <w:sz w:val="15"/>
              </w:rPr>
              <w:t>Cm20</w:t>
            </w:r>
          </w:p>
        </w:tc>
        <w:tc>
          <w:tcPr>
            <w:tcW w:type="dxa" w:w="1296"/>
            <w:vAlign w:val="center"/>
          </w:tcPr>
          <w:p>
            <w:pPr>
              <w:spacing w:after="0"/>
              <w:jc w:val="center"/>
            </w:pPr>
            <w:r/>
            <w:r>
              <w:rPr>
                <w:rFonts w:ascii="Times New Roman" w:hAnsi="Times New Roman"/>
                <w:b w:val="0"/>
                <w:sz w:val="15"/>
              </w:rPr>
              <w:t>ELS</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5</w:t>
            </w:r>
          </w:p>
        </w:tc>
        <w:tc>
          <w:tcPr>
            <w:tcW w:type="dxa" w:w="1296"/>
            <w:vAlign w:val="center"/>
          </w:tcPr>
          <w:p>
            <w:pPr>
              <w:spacing w:after="0"/>
              <w:jc w:val="center"/>
            </w:pPr>
            <w:r/>
            <w:r>
              <w:rPr>
                <w:rFonts w:ascii="Times New Roman" w:hAnsi="Times New Roman"/>
                <w:b w:val="0"/>
                <w:sz w:val="15"/>
              </w:rPr>
              <w:t>0.2954</w:t>
            </w:r>
          </w:p>
        </w:tc>
        <w:tc>
          <w:tcPr>
            <w:tcW w:type="dxa" w:w="1440"/>
            <w:vAlign w:val="center"/>
          </w:tcPr>
          <w:p>
            <w:pPr>
              <w:spacing w:after="0"/>
              <w:jc w:val="center"/>
            </w:pPr>
            <w:r/>
            <w:r>
              <w:rPr>
                <w:rFonts w:ascii="Times New Roman" w:hAnsi="Times New Roman"/>
                <w:b w:val="0"/>
                <w:sz w:val="15"/>
              </w:rPr>
              <w:t>0.2857</w:t>
            </w:r>
          </w:p>
        </w:tc>
        <w:tc>
          <w:tcPr>
            <w:tcW w:type="dxa" w:w="1728"/>
            <w:vAlign w:val="center"/>
          </w:tcPr>
          <w:p>
            <w:pPr>
              <w:spacing w:after="0"/>
              <w:jc w:val="center"/>
            </w:pPr>
            <w:r/>
            <w:r>
              <w:rPr>
                <w:rFonts w:ascii="Times New Roman" w:hAnsi="Times New Roman"/>
                <w:b w:val="0"/>
                <w:sz w:val="15"/>
              </w:rPr>
              <w:t>0.5628</w:t>
            </w:r>
          </w:p>
        </w:tc>
        <w:tc>
          <w:tcPr>
            <w:tcW w:type="dxa" w:w="1440"/>
            <w:vAlign w:val="center"/>
          </w:tcPr>
          <w:p>
            <w:pPr>
              <w:spacing w:after="0"/>
              <w:jc w:val="center"/>
            </w:pPr>
            <w:r/>
            <w:r>
              <w:rPr>
                <w:rFonts w:ascii="Times New Roman" w:hAnsi="Times New Roman"/>
                <w:b w:val="0"/>
                <w:sz w:val="15"/>
              </w:rPr>
              <w:t>0.233</w:t>
            </w:r>
          </w:p>
        </w:tc>
        <w:tc>
          <w:tcPr>
            <w:tcW w:type="dxa" w:w="1440"/>
            <w:vAlign w:val="center"/>
          </w:tcPr>
          <w:p>
            <w:pPr>
              <w:spacing w:after="0"/>
              <w:jc w:val="center"/>
            </w:pPr>
            <w:r/>
            <w:r>
              <w:rPr>
                <w:rFonts w:ascii="Times New Roman" w:hAnsi="Times New Roman"/>
                <w:b w:val="0"/>
                <w:sz w:val="15"/>
              </w:rPr>
            </w:r>
          </w:p>
        </w:tc>
      </w:tr>
      <w:tr>
        <w:tc>
          <w:tcPr>
            <w:tcW w:type="dxa" w:w="1080"/>
            <w:vAlign w:val="center"/>
          </w:tcPr>
          <w:p>
            <w:pPr>
              <w:spacing w:after="0"/>
              <w:jc w:val="center"/>
            </w:pPr>
            <w:r/>
            <w:r>
              <w:rPr>
                <w:rFonts w:ascii="Times New Roman" w:hAnsi="Times New Roman"/>
                <w:b w:val="0"/>
                <w:sz w:val="15"/>
              </w:rPr>
              <w:t>Cm20</w:t>
            </w:r>
          </w:p>
        </w:tc>
        <w:tc>
          <w:tcPr>
            <w:tcW w:type="dxa" w:w="1296"/>
            <w:vAlign w:val="center"/>
          </w:tcPr>
          <w:p>
            <w:pPr>
              <w:spacing w:after="0"/>
              <w:jc w:val="center"/>
            </w:pPr>
            <w:r/>
            <w:r>
              <w:rPr>
                <w:rFonts w:ascii="Times New Roman" w:hAnsi="Times New Roman"/>
                <w:b w:val="0"/>
                <w:sz w:val="15"/>
              </w:rPr>
              <w:t>HER</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0.0000</w:t>
            </w:r>
          </w:p>
        </w:tc>
        <w:tc>
          <w:tcPr>
            <w:tcW w:type="dxa" w:w="1440"/>
            <w:vAlign w:val="center"/>
          </w:tcPr>
          <w:p>
            <w:pPr>
              <w:spacing w:after="0"/>
              <w:jc w:val="center"/>
            </w:pPr>
            <w:r/>
            <w:r>
              <w:rPr>
                <w:rFonts w:ascii="Times New Roman" w:hAnsi="Times New Roman"/>
                <w:b w:val="0"/>
                <w:sz w:val="15"/>
              </w:rPr>
              <w:t>0.0000</w:t>
            </w:r>
          </w:p>
        </w:tc>
        <w:tc>
          <w:tcPr>
            <w:tcW w:type="dxa" w:w="1728"/>
            <w:vAlign w:val="center"/>
          </w:tcPr>
          <w:p>
            <w:pPr>
              <w:spacing w:after="0"/>
              <w:jc w:val="center"/>
            </w:pPr>
            <w:r/>
            <w:r>
              <w:rPr>
                <w:rFonts w:ascii="Times New Roman" w:hAnsi="Times New Roman"/>
                <w:b w:val="0"/>
                <w:sz w:val="15"/>
              </w:rPr>
              <w:t>0.7500</w:t>
            </w:r>
          </w:p>
        </w:tc>
        <w:tc>
          <w:tcPr>
            <w:tcW w:type="dxa" w:w="1440"/>
            <w:vAlign w:val="center"/>
          </w:tcPr>
          <w:p>
            <w:pPr>
              <w:spacing w:after="0"/>
              <w:jc w:val="center"/>
            </w:pPr>
            <w:r/>
            <w:r>
              <w:rPr>
                <w:rFonts w:ascii="Times New Roman" w:hAnsi="Times New Roman"/>
                <w:b w:val="0"/>
                <w:sz w:val="15"/>
              </w:rPr>
              <w:t>0.083</w:t>
            </w:r>
          </w:p>
        </w:tc>
        <w:tc>
          <w:tcPr>
            <w:tcW w:type="dxa" w:w="1440"/>
            <w:vAlign w:val="center"/>
          </w:tcPr>
          <w:p>
            <w:pPr>
              <w:spacing w:after="0"/>
              <w:jc w:val="center"/>
            </w:pPr>
            <w:r/>
            <w:r>
              <w:rPr>
                <w:rFonts w:ascii="Times New Roman" w:hAnsi="Times New Roman"/>
                <w:b w:val="0"/>
                <w:sz w:val="15"/>
              </w:rPr>
            </w:r>
          </w:p>
        </w:tc>
      </w:tr>
      <w:tr>
        <w:tc>
          <w:tcPr>
            <w:tcW w:type="dxa" w:w="1080"/>
            <w:vAlign w:val="center"/>
          </w:tcPr>
          <w:p>
            <w:pPr>
              <w:spacing w:after="0"/>
              <w:jc w:val="center"/>
            </w:pPr>
            <w:r/>
            <w:r>
              <w:rPr>
                <w:rFonts w:ascii="Times New Roman" w:hAnsi="Times New Roman"/>
                <w:b w:val="0"/>
                <w:sz w:val="15"/>
              </w:rPr>
              <w:t>C0</w:t>
            </w:r>
          </w:p>
        </w:tc>
        <w:tc>
          <w:tcPr>
            <w:tcW w:type="dxa" w:w="1296"/>
            <w:vAlign w:val="center"/>
          </w:tcPr>
          <w:p>
            <w:pPr>
              <w:spacing w:after="0"/>
              <w:jc w:val="center"/>
            </w:pPr>
            <w:r/>
            <w:r>
              <w:rPr>
                <w:rFonts w:ascii="Times New Roman" w:hAnsi="Times New Roman"/>
                <w:b w:val="0"/>
                <w:sz w:val="15"/>
              </w:rPr>
              <w:t>PCR</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0.1075</w:t>
            </w:r>
          </w:p>
        </w:tc>
        <w:tc>
          <w:tcPr>
            <w:tcW w:type="dxa" w:w="1440"/>
            <w:vAlign w:val="center"/>
          </w:tcPr>
          <w:p>
            <w:pPr>
              <w:spacing w:after="0"/>
              <w:jc w:val="center"/>
            </w:pPr>
            <w:r/>
            <w:r>
              <w:rPr>
                <w:rFonts w:ascii="Times New Roman" w:hAnsi="Times New Roman"/>
                <w:b w:val="0"/>
                <w:sz w:val="15"/>
              </w:rPr>
              <w:t>0.0047</w:t>
            </w:r>
          </w:p>
        </w:tc>
        <w:tc>
          <w:tcPr>
            <w:tcW w:type="dxa" w:w="1728"/>
            <w:vAlign w:val="center"/>
          </w:tcPr>
          <w:p>
            <w:pPr>
              <w:spacing w:after="0"/>
              <w:jc w:val="center"/>
            </w:pPr>
            <w:r/>
            <w:r>
              <w:rPr>
                <w:rFonts w:ascii="Times New Roman" w:hAnsi="Times New Roman"/>
                <w:b w:val="0"/>
                <w:sz w:val="15"/>
              </w:rPr>
              <w:t>0.0141</w:t>
            </w:r>
          </w:p>
        </w:tc>
        <w:tc>
          <w:tcPr>
            <w:tcW w:type="dxa" w:w="1440"/>
            <w:vAlign w:val="center"/>
          </w:tcPr>
          <w:p>
            <w:pPr>
              <w:spacing w:after="0"/>
              <w:jc w:val="center"/>
            </w:pPr>
            <w:r/>
            <w:r>
              <w:rPr>
                <w:rFonts w:ascii="Times New Roman" w:hAnsi="Times New Roman"/>
                <w:b w:val="0"/>
                <w:sz w:val="15"/>
              </w:rPr>
              <w:t>0.733</w:t>
            </w:r>
          </w:p>
        </w:tc>
        <w:tc>
          <w:tcPr>
            <w:tcW w:type="dxa" w:w="1440"/>
            <w:vAlign w:val="center"/>
          </w:tcPr>
          <w:p>
            <w:pPr>
              <w:spacing w:after="0"/>
              <w:jc w:val="center"/>
            </w:pPr>
            <w:r/>
            <w:r>
              <w:rPr>
                <w:rFonts w:ascii="Times New Roman" w:hAnsi="Times New Roman"/>
                <w:b w:val="0"/>
                <w:sz w:val="15"/>
              </w:rPr>
              <w:t>0.0415</w:t>
            </w:r>
          </w:p>
        </w:tc>
      </w:tr>
      <w:tr>
        <w:tc>
          <w:tcPr>
            <w:tcW w:type="dxa" w:w="1080"/>
            <w:vAlign w:val="center"/>
          </w:tcPr>
          <w:p>
            <w:pPr>
              <w:spacing w:after="0"/>
              <w:jc w:val="center"/>
            </w:pPr>
            <w:r/>
            <w:r>
              <w:rPr>
                <w:rFonts w:ascii="Times New Roman" w:hAnsi="Times New Roman"/>
                <w:b w:val="0"/>
                <w:sz w:val="15"/>
              </w:rPr>
              <w:t>C0</w:t>
            </w:r>
          </w:p>
        </w:tc>
        <w:tc>
          <w:tcPr>
            <w:tcW w:type="dxa" w:w="1296"/>
            <w:vAlign w:val="center"/>
          </w:tcPr>
          <w:p>
            <w:pPr>
              <w:spacing w:after="0"/>
              <w:jc w:val="center"/>
            </w:pPr>
            <w:r/>
            <w:r>
              <w:rPr>
                <w:rFonts w:ascii="Times New Roman" w:hAnsi="Times New Roman"/>
                <w:b w:val="0"/>
                <w:sz w:val="15"/>
              </w:rPr>
              <w:t>STDHNLPI</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0.0276</w:t>
            </w:r>
          </w:p>
        </w:tc>
        <w:tc>
          <w:tcPr>
            <w:tcW w:type="dxa" w:w="1440"/>
            <w:vAlign w:val="center"/>
          </w:tcPr>
          <w:p>
            <w:pPr>
              <w:spacing w:after="0"/>
              <w:jc w:val="center"/>
            </w:pPr>
            <w:r/>
            <w:r>
              <w:rPr>
                <w:rFonts w:ascii="Times New Roman" w:hAnsi="Times New Roman"/>
                <w:b w:val="0"/>
                <w:sz w:val="15"/>
              </w:rPr>
              <w:t>0.0014</w:t>
            </w:r>
          </w:p>
        </w:tc>
        <w:tc>
          <w:tcPr>
            <w:tcW w:type="dxa" w:w="1728"/>
            <w:vAlign w:val="center"/>
          </w:tcPr>
          <w:p>
            <w:pPr>
              <w:spacing w:after="0"/>
              <w:jc w:val="center"/>
            </w:pPr>
            <w:r/>
            <w:r>
              <w:rPr>
                <w:rFonts w:ascii="Times New Roman" w:hAnsi="Times New Roman"/>
                <w:b w:val="0"/>
                <w:sz w:val="15"/>
              </w:rPr>
              <w:t>0.0207</w:t>
            </w:r>
          </w:p>
        </w:tc>
        <w:tc>
          <w:tcPr>
            <w:tcW w:type="dxa" w:w="1440"/>
            <w:vAlign w:val="center"/>
          </w:tcPr>
          <w:p>
            <w:pPr>
              <w:spacing w:after="0"/>
              <w:jc w:val="center"/>
            </w:pPr>
            <w:r/>
            <w:r>
              <w:rPr>
                <w:rFonts w:ascii="Times New Roman" w:hAnsi="Times New Roman"/>
                <w:b w:val="0"/>
                <w:sz w:val="15"/>
              </w:rPr>
              <w:t>0.700</w:t>
            </w:r>
          </w:p>
        </w:tc>
        <w:tc>
          <w:tcPr>
            <w:tcW w:type="dxa" w:w="1440"/>
            <w:vAlign w:val="center"/>
          </w:tcPr>
          <w:p>
            <w:pPr>
              <w:spacing w:after="0"/>
              <w:jc w:val="center"/>
            </w:pPr>
            <w:r/>
            <w:r>
              <w:rPr>
                <w:rFonts w:ascii="Times New Roman" w:hAnsi="Times New Roman"/>
                <w:b w:val="0"/>
                <w:sz w:val="15"/>
              </w:rPr>
              <w:t>0.0415</w:t>
            </w:r>
          </w:p>
        </w:tc>
      </w:tr>
      <w:tr>
        <w:tc>
          <w:tcPr>
            <w:tcW w:type="dxa" w:w="1080"/>
            <w:vAlign w:val="center"/>
          </w:tcPr>
          <w:p>
            <w:pPr>
              <w:spacing w:after="0"/>
              <w:jc w:val="center"/>
            </w:pPr>
            <w:r/>
            <w:r>
              <w:rPr>
                <w:rFonts w:ascii="Times New Roman" w:hAnsi="Times New Roman"/>
                <w:b w:val="0"/>
                <w:sz w:val="15"/>
              </w:rPr>
              <w:t>C0</w:t>
            </w:r>
          </w:p>
        </w:tc>
        <w:tc>
          <w:tcPr>
            <w:tcW w:type="dxa" w:w="1296"/>
            <w:vAlign w:val="center"/>
          </w:tcPr>
          <w:p>
            <w:pPr>
              <w:spacing w:after="0"/>
              <w:jc w:val="center"/>
            </w:pPr>
            <w:r/>
            <w:r>
              <w:rPr>
                <w:rFonts w:ascii="Times New Roman" w:hAnsi="Times New Roman"/>
                <w:b w:val="0"/>
                <w:sz w:val="15"/>
              </w:rPr>
              <w:t>ELS</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5</w:t>
            </w:r>
          </w:p>
        </w:tc>
        <w:tc>
          <w:tcPr>
            <w:tcW w:type="dxa" w:w="1296"/>
            <w:vAlign w:val="center"/>
          </w:tcPr>
          <w:p>
            <w:pPr>
              <w:spacing w:after="0"/>
              <w:jc w:val="center"/>
            </w:pPr>
            <w:r/>
            <w:r>
              <w:rPr>
                <w:rFonts w:ascii="Times New Roman" w:hAnsi="Times New Roman"/>
                <w:b w:val="0"/>
                <w:sz w:val="15"/>
              </w:rPr>
              <w:t>0.2700</w:t>
            </w:r>
          </w:p>
        </w:tc>
        <w:tc>
          <w:tcPr>
            <w:tcW w:type="dxa" w:w="1440"/>
            <w:vAlign w:val="center"/>
          </w:tcPr>
          <w:p>
            <w:pPr>
              <w:spacing w:after="0"/>
              <w:jc w:val="center"/>
            </w:pPr>
            <w:r/>
            <w:r>
              <w:rPr>
                <w:rFonts w:ascii="Times New Roman" w:hAnsi="Times New Roman"/>
                <w:b w:val="0"/>
                <w:sz w:val="15"/>
              </w:rPr>
              <w:t>0.2500</w:t>
            </w:r>
          </w:p>
        </w:tc>
        <w:tc>
          <w:tcPr>
            <w:tcW w:type="dxa" w:w="1728"/>
            <w:vAlign w:val="center"/>
          </w:tcPr>
          <w:p>
            <w:pPr>
              <w:spacing w:after="0"/>
              <w:jc w:val="center"/>
            </w:pPr>
            <w:r/>
            <w:r>
              <w:rPr>
                <w:rFonts w:ascii="Times New Roman" w:hAnsi="Times New Roman"/>
                <w:b w:val="0"/>
                <w:sz w:val="15"/>
              </w:rPr>
              <w:t>0.4459</w:t>
            </w:r>
          </w:p>
        </w:tc>
        <w:tc>
          <w:tcPr>
            <w:tcW w:type="dxa" w:w="1440"/>
            <w:vAlign w:val="center"/>
          </w:tcPr>
          <w:p>
            <w:pPr>
              <w:spacing w:after="0"/>
              <w:jc w:val="center"/>
            </w:pPr>
            <w:r/>
            <w:r>
              <w:rPr>
                <w:rFonts w:ascii="Times New Roman" w:hAnsi="Times New Roman"/>
                <w:b w:val="0"/>
                <w:sz w:val="15"/>
              </w:rPr>
              <w:t>0.300</w:t>
            </w:r>
          </w:p>
        </w:tc>
        <w:tc>
          <w:tcPr>
            <w:tcW w:type="dxa" w:w="1440"/>
            <w:vAlign w:val="center"/>
          </w:tcPr>
          <w:p>
            <w:pPr>
              <w:spacing w:after="0"/>
              <w:jc w:val="center"/>
            </w:pPr>
            <w:r/>
            <w:r>
              <w:rPr>
                <w:rFonts w:ascii="Times New Roman" w:hAnsi="Times New Roman"/>
                <w:b w:val="0"/>
                <w:sz w:val="15"/>
              </w:rPr>
              <w:t>0.5945</w:t>
            </w:r>
          </w:p>
        </w:tc>
      </w:tr>
      <w:tr>
        <w:tc>
          <w:tcPr>
            <w:tcW w:type="dxa" w:w="1080"/>
            <w:vAlign w:val="center"/>
          </w:tcPr>
          <w:p>
            <w:pPr>
              <w:spacing w:after="0"/>
              <w:jc w:val="center"/>
            </w:pPr>
            <w:r/>
            <w:r>
              <w:rPr>
                <w:rFonts w:ascii="Times New Roman" w:hAnsi="Times New Roman"/>
                <w:b w:val="0"/>
                <w:sz w:val="15"/>
              </w:rPr>
              <w:t>C0</w:t>
            </w:r>
          </w:p>
        </w:tc>
        <w:tc>
          <w:tcPr>
            <w:tcW w:type="dxa" w:w="1296"/>
            <w:vAlign w:val="center"/>
          </w:tcPr>
          <w:p>
            <w:pPr>
              <w:spacing w:after="0"/>
              <w:jc w:val="center"/>
            </w:pPr>
            <w:r/>
            <w:r>
              <w:rPr>
                <w:rFonts w:ascii="Times New Roman" w:hAnsi="Times New Roman"/>
                <w:b w:val="0"/>
                <w:sz w:val="15"/>
              </w:rPr>
              <w:t>HER</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0.0000</w:t>
            </w:r>
          </w:p>
        </w:tc>
        <w:tc>
          <w:tcPr>
            <w:tcW w:type="dxa" w:w="1440"/>
            <w:vAlign w:val="center"/>
          </w:tcPr>
          <w:p>
            <w:pPr>
              <w:spacing w:after="0"/>
              <w:jc w:val="center"/>
            </w:pPr>
            <w:r/>
            <w:r>
              <w:rPr>
                <w:rFonts w:ascii="Times New Roman" w:hAnsi="Times New Roman"/>
                <w:b w:val="0"/>
                <w:sz w:val="15"/>
              </w:rPr>
              <w:t>0.0000</w:t>
            </w:r>
          </w:p>
        </w:tc>
        <w:tc>
          <w:tcPr>
            <w:tcW w:type="dxa" w:w="1728"/>
            <w:vAlign w:val="center"/>
          </w:tcPr>
          <w:p>
            <w:pPr>
              <w:spacing w:after="0"/>
              <w:jc w:val="center"/>
            </w:pPr>
            <w:r/>
            <w:r>
              <w:rPr>
                <w:rFonts w:ascii="Times New Roman" w:hAnsi="Times New Roman"/>
                <w:b w:val="0"/>
                <w:sz w:val="15"/>
              </w:rPr>
              <w:t>0.7500</w:t>
            </w:r>
          </w:p>
        </w:tc>
        <w:tc>
          <w:tcPr>
            <w:tcW w:type="dxa" w:w="1440"/>
            <w:vAlign w:val="center"/>
          </w:tcPr>
          <w:p>
            <w:pPr>
              <w:spacing w:after="0"/>
              <w:jc w:val="center"/>
            </w:pPr>
            <w:r/>
            <w:r>
              <w:rPr>
                <w:rFonts w:ascii="Times New Roman" w:hAnsi="Times New Roman"/>
                <w:b w:val="0"/>
                <w:sz w:val="15"/>
              </w:rPr>
              <w:t>0.083</w:t>
            </w:r>
          </w:p>
        </w:tc>
        <w:tc>
          <w:tcPr>
            <w:tcW w:type="dxa" w:w="1440"/>
            <w:vAlign w:val="center"/>
          </w:tcPr>
          <w:p>
            <w:pPr>
              <w:spacing w:after="0"/>
              <w:jc w:val="center"/>
            </w:pPr>
            <w:r/>
            <w:r>
              <w:rPr>
                <w:rFonts w:ascii="Times New Roman" w:hAnsi="Times New Roman"/>
                <w:b w:val="0"/>
                <w:sz w:val="15"/>
              </w:rPr>
              <w:t>0.7500</w:t>
            </w:r>
          </w:p>
        </w:tc>
      </w:tr>
      <w:tr>
        <w:tc>
          <w:tcPr>
            <w:tcW w:type="dxa" w:w="1080"/>
            <w:vAlign w:val="center"/>
          </w:tcPr>
          <w:p>
            <w:pPr>
              <w:spacing w:after="0"/>
              <w:jc w:val="center"/>
            </w:pPr>
            <w:r/>
            <w:r>
              <w:rPr>
                <w:rFonts w:ascii="Times New Roman" w:hAnsi="Times New Roman"/>
                <w:b w:val="0"/>
                <w:sz w:val="15"/>
              </w:rPr>
              <w:t>Cp20</w:t>
            </w:r>
          </w:p>
        </w:tc>
        <w:tc>
          <w:tcPr>
            <w:tcW w:type="dxa" w:w="1296"/>
            <w:vAlign w:val="center"/>
          </w:tcPr>
          <w:p>
            <w:pPr>
              <w:spacing w:after="0"/>
              <w:jc w:val="center"/>
            </w:pPr>
            <w:r/>
            <w:r>
              <w:rPr>
                <w:rFonts w:ascii="Times New Roman" w:hAnsi="Times New Roman"/>
                <w:b w:val="0"/>
                <w:sz w:val="15"/>
              </w:rPr>
              <w:t>PCR</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0.0346</w:t>
            </w:r>
          </w:p>
        </w:tc>
        <w:tc>
          <w:tcPr>
            <w:tcW w:type="dxa" w:w="1440"/>
            <w:vAlign w:val="center"/>
          </w:tcPr>
          <w:p>
            <w:pPr>
              <w:spacing w:after="0"/>
              <w:jc w:val="center"/>
            </w:pPr>
            <w:r/>
            <w:r>
              <w:rPr>
                <w:rFonts w:ascii="Times New Roman" w:hAnsi="Times New Roman"/>
                <w:b w:val="0"/>
                <w:sz w:val="15"/>
              </w:rPr>
              <w:t>0.0020</w:t>
            </w:r>
          </w:p>
        </w:tc>
        <w:tc>
          <w:tcPr>
            <w:tcW w:type="dxa" w:w="1728"/>
            <w:vAlign w:val="center"/>
          </w:tcPr>
          <w:p>
            <w:pPr>
              <w:spacing w:after="0"/>
              <w:jc w:val="center"/>
            </w:pPr>
            <w:r/>
            <w:r>
              <w:rPr>
                <w:rFonts w:ascii="Times New Roman" w:hAnsi="Times New Roman"/>
                <w:b w:val="0"/>
                <w:sz w:val="15"/>
              </w:rPr>
              <w:t>0.0287</w:t>
            </w:r>
          </w:p>
        </w:tc>
        <w:tc>
          <w:tcPr>
            <w:tcW w:type="dxa" w:w="1440"/>
            <w:vAlign w:val="center"/>
          </w:tcPr>
          <w:p>
            <w:pPr>
              <w:spacing w:after="0"/>
              <w:jc w:val="center"/>
            </w:pPr>
            <w:r/>
            <w:r>
              <w:rPr>
                <w:rFonts w:ascii="Times New Roman" w:hAnsi="Times New Roman"/>
                <w:b w:val="0"/>
                <w:sz w:val="15"/>
              </w:rPr>
              <w:t>0.667</w:t>
            </w:r>
          </w:p>
        </w:tc>
        <w:tc>
          <w:tcPr>
            <w:tcW w:type="dxa" w:w="1440"/>
            <w:vAlign w:val="center"/>
          </w:tcPr>
          <w:p>
            <w:pPr>
              <w:spacing w:after="0"/>
              <w:jc w:val="center"/>
            </w:pPr>
            <w:r/>
            <w:r>
              <w:rPr>
                <w:rFonts w:ascii="Times New Roman" w:hAnsi="Times New Roman"/>
                <w:b w:val="0"/>
                <w:sz w:val="15"/>
              </w:rPr>
            </w:r>
          </w:p>
        </w:tc>
      </w:tr>
      <w:tr>
        <w:tc>
          <w:tcPr>
            <w:tcW w:type="dxa" w:w="1080"/>
            <w:vAlign w:val="center"/>
          </w:tcPr>
          <w:p>
            <w:pPr>
              <w:spacing w:after="0"/>
              <w:jc w:val="center"/>
            </w:pPr>
            <w:r/>
            <w:r>
              <w:rPr>
                <w:rFonts w:ascii="Times New Roman" w:hAnsi="Times New Roman"/>
                <w:b w:val="0"/>
                <w:sz w:val="15"/>
              </w:rPr>
              <w:t>Cp20</w:t>
            </w:r>
          </w:p>
        </w:tc>
        <w:tc>
          <w:tcPr>
            <w:tcW w:type="dxa" w:w="1296"/>
            <w:vAlign w:val="center"/>
          </w:tcPr>
          <w:p>
            <w:pPr>
              <w:spacing w:after="0"/>
              <w:jc w:val="center"/>
            </w:pPr>
            <w:r/>
            <w:r>
              <w:rPr>
                <w:rFonts w:ascii="Times New Roman" w:hAnsi="Times New Roman"/>
                <w:b w:val="0"/>
                <w:sz w:val="15"/>
              </w:rPr>
              <w:t>STDHNLPI</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0.0092</w:t>
            </w:r>
          </w:p>
        </w:tc>
        <w:tc>
          <w:tcPr>
            <w:tcW w:type="dxa" w:w="1440"/>
            <w:vAlign w:val="center"/>
          </w:tcPr>
          <w:p>
            <w:pPr>
              <w:spacing w:after="0"/>
              <w:jc w:val="center"/>
            </w:pPr>
            <w:r/>
            <w:r>
              <w:rPr>
                <w:rFonts w:ascii="Times New Roman" w:hAnsi="Times New Roman"/>
                <w:b w:val="0"/>
                <w:sz w:val="15"/>
              </w:rPr>
              <w:t>0.0005</w:t>
            </w:r>
          </w:p>
        </w:tc>
        <w:tc>
          <w:tcPr>
            <w:tcW w:type="dxa" w:w="1728"/>
            <w:vAlign w:val="center"/>
          </w:tcPr>
          <w:p>
            <w:pPr>
              <w:spacing w:after="0"/>
              <w:jc w:val="center"/>
            </w:pPr>
            <w:r/>
            <w:r>
              <w:rPr>
                <w:rFonts w:ascii="Times New Roman" w:hAnsi="Times New Roman"/>
                <w:b w:val="0"/>
                <w:sz w:val="15"/>
              </w:rPr>
              <w:t>0.0287</w:t>
            </w:r>
          </w:p>
        </w:tc>
        <w:tc>
          <w:tcPr>
            <w:tcW w:type="dxa" w:w="1440"/>
            <w:vAlign w:val="center"/>
          </w:tcPr>
          <w:p>
            <w:pPr>
              <w:spacing w:after="0"/>
              <w:jc w:val="center"/>
            </w:pPr>
            <w:r/>
            <w:r>
              <w:rPr>
                <w:rFonts w:ascii="Times New Roman" w:hAnsi="Times New Roman"/>
                <w:b w:val="0"/>
                <w:sz w:val="15"/>
              </w:rPr>
              <w:t>0.667</w:t>
            </w:r>
          </w:p>
        </w:tc>
        <w:tc>
          <w:tcPr>
            <w:tcW w:type="dxa" w:w="1440"/>
            <w:vAlign w:val="center"/>
          </w:tcPr>
          <w:p>
            <w:pPr>
              <w:spacing w:after="0"/>
              <w:jc w:val="center"/>
            </w:pPr>
            <w:r/>
            <w:r>
              <w:rPr>
                <w:rFonts w:ascii="Times New Roman" w:hAnsi="Times New Roman"/>
                <w:b w:val="0"/>
                <w:sz w:val="15"/>
              </w:rPr>
            </w:r>
          </w:p>
        </w:tc>
      </w:tr>
      <w:tr>
        <w:tc>
          <w:tcPr>
            <w:tcW w:type="dxa" w:w="1080"/>
            <w:vAlign w:val="center"/>
          </w:tcPr>
          <w:p>
            <w:pPr>
              <w:spacing w:after="0"/>
              <w:jc w:val="center"/>
            </w:pPr>
            <w:r/>
            <w:r>
              <w:rPr>
                <w:rFonts w:ascii="Times New Roman" w:hAnsi="Times New Roman"/>
                <w:b w:val="0"/>
                <w:sz w:val="15"/>
              </w:rPr>
              <w:t>Cp20</w:t>
            </w:r>
          </w:p>
        </w:tc>
        <w:tc>
          <w:tcPr>
            <w:tcW w:type="dxa" w:w="1296"/>
            <w:vAlign w:val="center"/>
          </w:tcPr>
          <w:p>
            <w:pPr>
              <w:spacing w:after="0"/>
              <w:jc w:val="center"/>
            </w:pPr>
            <w:r/>
            <w:r>
              <w:rPr>
                <w:rFonts w:ascii="Times New Roman" w:hAnsi="Times New Roman"/>
                <w:b w:val="0"/>
                <w:sz w:val="15"/>
              </w:rPr>
              <w:t>ELS</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5</w:t>
            </w:r>
          </w:p>
        </w:tc>
        <w:tc>
          <w:tcPr>
            <w:tcW w:type="dxa" w:w="1296"/>
            <w:vAlign w:val="center"/>
          </w:tcPr>
          <w:p>
            <w:pPr>
              <w:spacing w:after="0"/>
              <w:jc w:val="center"/>
            </w:pPr>
            <w:r/>
            <w:r>
              <w:rPr>
                <w:rFonts w:ascii="Times New Roman" w:hAnsi="Times New Roman"/>
                <w:b w:val="0"/>
                <w:sz w:val="15"/>
              </w:rPr>
              <w:t>0.2692</w:t>
            </w:r>
          </w:p>
        </w:tc>
        <w:tc>
          <w:tcPr>
            <w:tcW w:type="dxa" w:w="1440"/>
            <w:vAlign w:val="center"/>
          </w:tcPr>
          <w:p>
            <w:pPr>
              <w:spacing w:after="0"/>
              <w:jc w:val="center"/>
            </w:pPr>
            <w:r/>
            <w:r>
              <w:rPr>
                <w:rFonts w:ascii="Times New Roman" w:hAnsi="Times New Roman"/>
                <w:b w:val="0"/>
                <w:sz w:val="15"/>
              </w:rPr>
              <w:t>0.2500</w:t>
            </w:r>
          </w:p>
        </w:tc>
        <w:tc>
          <w:tcPr>
            <w:tcW w:type="dxa" w:w="1728"/>
            <w:vAlign w:val="center"/>
          </w:tcPr>
          <w:p>
            <w:pPr>
              <w:spacing w:after="0"/>
              <w:jc w:val="center"/>
            </w:pPr>
            <w:r/>
            <w:r>
              <w:rPr>
                <w:rFonts w:ascii="Times New Roman" w:hAnsi="Times New Roman"/>
                <w:b w:val="0"/>
                <w:sz w:val="15"/>
              </w:rPr>
              <w:t>0.2749</w:t>
            </w:r>
          </w:p>
        </w:tc>
        <w:tc>
          <w:tcPr>
            <w:tcW w:type="dxa" w:w="1440"/>
            <w:vAlign w:val="center"/>
          </w:tcPr>
          <w:p>
            <w:pPr>
              <w:spacing w:after="0"/>
              <w:jc w:val="center"/>
            </w:pPr>
            <w:r/>
            <w:r>
              <w:rPr>
                <w:rFonts w:ascii="Times New Roman" w:hAnsi="Times New Roman"/>
                <w:b w:val="0"/>
                <w:sz w:val="15"/>
              </w:rPr>
              <w:t>0.400</w:t>
            </w:r>
          </w:p>
        </w:tc>
        <w:tc>
          <w:tcPr>
            <w:tcW w:type="dxa" w:w="1440"/>
            <w:vAlign w:val="center"/>
          </w:tcPr>
          <w:p>
            <w:pPr>
              <w:spacing w:after="0"/>
              <w:jc w:val="center"/>
            </w:pPr>
            <w:r/>
            <w:r>
              <w:rPr>
                <w:rFonts w:ascii="Times New Roman" w:hAnsi="Times New Roman"/>
                <w:b w:val="0"/>
                <w:sz w:val="15"/>
              </w:rPr>
            </w:r>
          </w:p>
        </w:tc>
      </w:tr>
      <w:tr>
        <w:tc>
          <w:tcPr>
            <w:tcW w:type="dxa" w:w="1080"/>
            <w:vAlign w:val="center"/>
          </w:tcPr>
          <w:p>
            <w:pPr>
              <w:spacing w:after="0"/>
              <w:jc w:val="center"/>
            </w:pPr>
            <w:r/>
            <w:r>
              <w:rPr>
                <w:rFonts w:ascii="Times New Roman" w:hAnsi="Times New Roman"/>
                <w:b w:val="0"/>
                <w:sz w:val="15"/>
              </w:rPr>
              <w:t>Cp20</w:t>
            </w:r>
          </w:p>
        </w:tc>
        <w:tc>
          <w:tcPr>
            <w:tcW w:type="dxa" w:w="1296"/>
            <w:vAlign w:val="center"/>
          </w:tcPr>
          <w:p>
            <w:pPr>
              <w:spacing w:after="0"/>
              <w:jc w:val="center"/>
            </w:pPr>
            <w:r/>
            <w:r>
              <w:rPr>
                <w:rFonts w:ascii="Times New Roman" w:hAnsi="Times New Roman"/>
                <w:b w:val="0"/>
                <w:sz w:val="15"/>
              </w:rPr>
              <w:t>HER</w:t>
            </w:r>
          </w:p>
        </w:tc>
        <w:tc>
          <w:tcPr>
            <w:tcW w:type="dxa" w:w="936"/>
            <w:vAlign w:val="center"/>
          </w:tcPr>
          <w:p>
            <w:pPr>
              <w:spacing w:after="0"/>
              <w:jc w:val="center"/>
            </w:pPr>
            <w:r/>
            <w:r>
              <w:rPr>
                <w:rFonts w:ascii="Times New Roman" w:hAnsi="Times New Roman"/>
                <w:b w:val="0"/>
                <w:sz w:val="15"/>
              </w:rPr>
              <w:t>6</w:t>
            </w:r>
          </w:p>
        </w:tc>
        <w:tc>
          <w:tcPr>
            <w:tcW w:type="dxa" w:w="1224"/>
            <w:vAlign w:val="center"/>
          </w:tcPr>
          <w:p>
            <w:pPr>
              <w:spacing w:after="0"/>
              <w:jc w:val="center"/>
            </w:pPr>
            <w:r/>
            <w:r>
              <w:rPr>
                <w:rFonts w:ascii="Times New Roman" w:hAnsi="Times New Roman"/>
                <w:b w:val="0"/>
                <w:sz w:val="15"/>
              </w:rPr>
              <w:t>10</w:t>
            </w:r>
          </w:p>
        </w:tc>
        <w:tc>
          <w:tcPr>
            <w:tcW w:type="dxa" w:w="1296"/>
            <w:vAlign w:val="center"/>
          </w:tcPr>
          <w:p>
            <w:pPr>
              <w:spacing w:after="0"/>
              <w:jc w:val="center"/>
            </w:pPr>
            <w:r/>
            <w:r>
              <w:rPr>
                <w:rFonts w:ascii="Times New Roman" w:hAnsi="Times New Roman"/>
                <w:b w:val="0"/>
                <w:sz w:val="15"/>
              </w:rPr>
              <w:t>0.0000</w:t>
            </w:r>
          </w:p>
        </w:tc>
        <w:tc>
          <w:tcPr>
            <w:tcW w:type="dxa" w:w="1440"/>
            <w:vAlign w:val="center"/>
          </w:tcPr>
          <w:p>
            <w:pPr>
              <w:spacing w:after="0"/>
              <w:jc w:val="center"/>
            </w:pPr>
            <w:r/>
            <w:r>
              <w:rPr>
                <w:rFonts w:ascii="Times New Roman" w:hAnsi="Times New Roman"/>
                <w:b w:val="0"/>
                <w:sz w:val="15"/>
              </w:rPr>
              <w:t>0.0000</w:t>
            </w:r>
          </w:p>
        </w:tc>
        <w:tc>
          <w:tcPr>
            <w:tcW w:type="dxa" w:w="1728"/>
            <w:vAlign w:val="center"/>
          </w:tcPr>
          <w:p>
            <w:pPr>
              <w:spacing w:after="0"/>
              <w:jc w:val="center"/>
            </w:pPr>
            <w:r/>
            <w:r>
              <w:rPr>
                <w:rFonts w:ascii="Times New Roman" w:hAnsi="Times New Roman"/>
                <w:b w:val="0"/>
                <w:sz w:val="15"/>
              </w:rPr>
              <w:t>0.7500</w:t>
            </w:r>
          </w:p>
        </w:tc>
        <w:tc>
          <w:tcPr>
            <w:tcW w:type="dxa" w:w="1440"/>
            <w:vAlign w:val="center"/>
          </w:tcPr>
          <w:p>
            <w:pPr>
              <w:spacing w:after="0"/>
              <w:jc w:val="center"/>
            </w:pPr>
            <w:r/>
            <w:r>
              <w:rPr>
                <w:rFonts w:ascii="Times New Roman" w:hAnsi="Times New Roman"/>
                <w:b w:val="0"/>
                <w:sz w:val="15"/>
              </w:rPr>
              <w:t>0.083</w:t>
            </w:r>
          </w:p>
        </w:tc>
        <w:tc>
          <w:tcPr>
            <w:tcW w:type="dxa" w:w="1440"/>
            <w:vAlign w:val="center"/>
          </w:tcPr>
          <w:p>
            <w:pPr>
              <w:spacing w:after="0"/>
              <w:jc w:val="center"/>
            </w:pPr>
            <w:r/>
            <w:r>
              <w:rPr>
                <w:rFonts w:ascii="Times New Roman" w:hAnsi="Times New Roman"/>
                <w:b w:val="0"/>
                <w:sz w:val="15"/>
              </w:rPr>
            </w:r>
          </w:p>
        </w:tc>
      </w:tr>
    </w:tbl>
    <w:p>
      <w:pPr>
        <w:spacing w:after="0"/>
      </w:pPr>
    </w:p>
    <w:p>
      <w:pPr>
        <w:spacing w:after="80" w:line="252" w:lineRule="auto"/>
      </w:pPr>
      <w:r>
        <w:rPr>
          <w:rFonts w:ascii="Times New Roman" w:hAnsi="Times New Roman"/>
          <w:sz w:val="20"/>
        </w:rPr>
        <w:t>Note: ELS excluded units with A_lit = 0; consequently, ELS comparisons used six key and five temporary stopover units. Positive rank-biserial values indicate higher values at key stopovers.</w:t>
      </w:r>
    </w:p>
    <w:p>
      <w:pPr>
        <w:pStyle w:val="Heading1"/>
        <w:spacing w:before="160" w:after="80"/>
      </w:pPr>
      <w:r>
        <w:rPr>
          <w:rFonts w:ascii="Times New Roman" w:hAnsi="Times New Roman"/>
          <w:color w:val="000000"/>
        </w:rPr>
        <w:t>Table S4. STDHNLPI robustness across the nine threshold-by-score scenarios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296"/>
            <w:vAlign w:val="center"/>
            <w:shd w:fill="D9E1F2"/>
          </w:tcPr>
          <w:p>
            <w:pPr>
              <w:spacing w:after="0"/>
              <w:jc w:val="center"/>
            </w:pPr>
            <w:r/>
            <w:r>
              <w:rPr>
                <w:rFonts w:ascii="Times New Roman" w:hAnsi="Times New Roman"/>
                <w:b/>
                <w:sz w:val="16"/>
              </w:rPr>
              <w:t>Threshold</w:t>
            </w:r>
          </w:p>
        </w:tc>
        <w:tc>
          <w:tcPr>
            <w:tcW w:type="dxa" w:w="2088"/>
            <w:vAlign w:val="center"/>
            <w:shd w:fill="D9E1F2"/>
          </w:tcPr>
          <w:p>
            <w:pPr>
              <w:spacing w:after="0"/>
              <w:jc w:val="center"/>
            </w:pPr>
            <w:r/>
            <w:r>
              <w:rPr>
                <w:rFonts w:ascii="Times New Roman" w:hAnsi="Times New Roman"/>
                <w:b/>
                <w:sz w:val="16"/>
              </w:rPr>
              <w:t>Score scheme</w:t>
            </w:r>
          </w:p>
        </w:tc>
        <w:tc>
          <w:tcPr>
            <w:tcW w:type="dxa" w:w="1944"/>
            <w:vAlign w:val="center"/>
            <w:shd w:fill="D9E1F2"/>
          </w:tcPr>
          <w:p>
            <w:pPr>
              <w:spacing w:after="0"/>
              <w:jc w:val="center"/>
            </w:pPr>
            <w:r/>
            <w:r>
              <w:rPr>
                <w:rFonts w:ascii="Times New Roman" w:hAnsi="Times New Roman"/>
                <w:b/>
                <w:sz w:val="16"/>
              </w:rPr>
              <w:t>Spearman ρ vs baseline</w:t>
            </w:r>
          </w:p>
        </w:tc>
        <w:tc>
          <w:tcPr>
            <w:tcW w:type="dxa" w:w="1728"/>
            <w:vAlign w:val="center"/>
            <w:shd w:fill="D9E1F2"/>
          </w:tcPr>
          <w:p>
            <w:pPr>
              <w:spacing w:after="0"/>
              <w:jc w:val="center"/>
            </w:pPr>
            <w:r/>
            <w:r>
              <w:rPr>
                <w:rFonts w:ascii="Times New Roman" w:hAnsi="Times New Roman"/>
                <w:b/>
                <w:sz w:val="16"/>
              </w:rPr>
              <w:t>Maximum rank shift</w:t>
            </w:r>
          </w:p>
        </w:tc>
        <w:tc>
          <w:tcPr>
            <w:tcW w:type="dxa" w:w="1440"/>
            <w:vAlign w:val="center"/>
            <w:shd w:fill="D9E1F2"/>
          </w:tcPr>
          <w:p>
            <w:pPr>
              <w:spacing w:after="0"/>
              <w:jc w:val="center"/>
            </w:pPr>
            <w:r/>
            <w:r>
              <w:rPr>
                <w:rFonts w:ascii="Times New Roman" w:hAnsi="Times New Roman"/>
                <w:b/>
                <w:sz w:val="16"/>
              </w:rPr>
              <w:t>Top-five overlap</w:t>
            </w:r>
          </w:p>
        </w:tc>
        <w:tc>
          <w:tcPr>
            <w:tcW w:type="dxa" w:w="1296"/>
            <w:vAlign w:val="center"/>
            <w:shd w:fill="D9E1F2"/>
          </w:tcPr>
          <w:p>
            <w:pPr>
              <w:spacing w:after="0"/>
              <w:jc w:val="center"/>
            </w:pPr>
            <w:r/>
            <w:r>
              <w:rPr>
                <w:rFonts w:ascii="Times New Roman" w:hAnsi="Times New Roman"/>
                <w:b/>
                <w:sz w:val="16"/>
              </w:rPr>
              <w:t>Mean |Δ|</w:t>
            </w:r>
          </w:p>
        </w:tc>
        <w:tc>
          <w:tcPr>
            <w:tcW w:type="dxa" w:w="1368"/>
            <w:vAlign w:val="center"/>
            <w:shd w:fill="D9E1F2"/>
          </w:tcPr>
          <w:p>
            <w:pPr>
              <w:spacing w:after="0"/>
              <w:jc w:val="center"/>
            </w:pPr>
            <w:r/>
            <w:r>
              <w:rPr>
                <w:rFonts w:ascii="Times New Roman" w:hAnsi="Times New Roman"/>
                <w:b/>
                <w:sz w:val="16"/>
              </w:rPr>
              <w:t>Maximum |Δ|</w:t>
            </w:r>
          </w:p>
        </w:tc>
      </w:tr>
      <w:tr>
        <w:tc>
          <w:tcPr>
            <w:tcW w:type="dxa" w:w="1296"/>
            <w:vAlign w:val="center"/>
          </w:tcPr>
          <w:p>
            <w:pPr>
              <w:spacing w:after="0"/>
              <w:jc w:val="center"/>
            </w:pPr>
            <w:r/>
            <w:r>
              <w:rPr>
                <w:rFonts w:ascii="Times New Roman" w:hAnsi="Times New Roman"/>
                <w:b w:val="0"/>
                <w:sz w:val="16"/>
              </w:rPr>
              <w:t>Cm20</w:t>
            </w:r>
          </w:p>
        </w:tc>
        <w:tc>
          <w:tcPr>
            <w:tcW w:type="dxa" w:w="2088"/>
            <w:vAlign w:val="center"/>
          </w:tcPr>
          <w:p>
            <w:pPr>
              <w:spacing w:after="0"/>
              <w:jc w:val="center"/>
            </w:pPr>
            <w:r/>
            <w:r>
              <w:rPr>
                <w:rFonts w:ascii="Times New Roman" w:hAnsi="Times New Roman"/>
                <w:b w:val="0"/>
                <w:sz w:val="16"/>
              </w:rPr>
              <w:t>Concave γ=0.5</w:t>
            </w:r>
          </w:p>
        </w:tc>
        <w:tc>
          <w:tcPr>
            <w:tcW w:type="dxa" w:w="1944"/>
            <w:vAlign w:val="center"/>
          </w:tcPr>
          <w:p>
            <w:pPr>
              <w:spacing w:after="0"/>
              <w:jc w:val="center"/>
            </w:pPr>
            <w:r/>
            <w:r>
              <w:rPr>
                <w:rFonts w:ascii="Times New Roman" w:hAnsi="Times New Roman"/>
                <w:b w:val="0"/>
                <w:sz w:val="16"/>
              </w:rPr>
              <w:t>0.998</w:t>
            </w:r>
          </w:p>
        </w:tc>
        <w:tc>
          <w:tcPr>
            <w:tcW w:type="dxa" w:w="1728"/>
            <w:vAlign w:val="center"/>
          </w:tcPr>
          <w:p>
            <w:pPr>
              <w:spacing w:after="0"/>
              <w:jc w:val="center"/>
            </w:pPr>
            <w:r/>
            <w:r>
              <w:rPr>
                <w:rFonts w:ascii="Times New Roman" w:hAnsi="Times New Roman"/>
                <w:b w:val="0"/>
                <w:sz w:val="16"/>
              </w:rPr>
              <w:t>1.0</w:t>
            </w:r>
          </w:p>
        </w:tc>
        <w:tc>
          <w:tcPr>
            <w:tcW w:type="dxa" w:w="1440"/>
            <w:vAlign w:val="center"/>
          </w:tcPr>
          <w:p>
            <w:pPr>
              <w:spacing w:after="0"/>
              <w:jc w:val="center"/>
            </w:pPr>
            <w:r/>
            <w:r>
              <w:rPr>
                <w:rFonts w:ascii="Times New Roman" w:hAnsi="Times New Roman"/>
                <w:b w:val="0"/>
                <w:sz w:val="16"/>
              </w:rPr>
              <w:t>4/5</w:t>
            </w:r>
          </w:p>
        </w:tc>
        <w:tc>
          <w:tcPr>
            <w:tcW w:type="dxa" w:w="1296"/>
            <w:vAlign w:val="center"/>
          </w:tcPr>
          <w:p>
            <w:pPr>
              <w:spacing w:after="0"/>
              <w:jc w:val="center"/>
            </w:pPr>
            <w:r/>
            <w:r>
              <w:rPr>
                <w:rFonts w:ascii="Times New Roman" w:hAnsi="Times New Roman"/>
                <w:b w:val="0"/>
                <w:sz w:val="16"/>
              </w:rPr>
              <w:t>0.0445</w:t>
            </w:r>
          </w:p>
        </w:tc>
        <w:tc>
          <w:tcPr>
            <w:tcW w:type="dxa" w:w="1368"/>
            <w:vAlign w:val="center"/>
          </w:tcPr>
          <w:p>
            <w:pPr>
              <w:spacing w:after="0"/>
              <w:jc w:val="center"/>
            </w:pPr>
            <w:r/>
            <w:r>
              <w:rPr>
                <w:rFonts w:ascii="Times New Roman" w:hAnsi="Times New Roman"/>
                <w:b w:val="0"/>
                <w:sz w:val="16"/>
              </w:rPr>
              <w:t>0.2667</w:t>
            </w:r>
          </w:p>
        </w:tc>
      </w:tr>
      <w:tr>
        <w:tc>
          <w:tcPr>
            <w:tcW w:type="dxa" w:w="1296"/>
            <w:vAlign w:val="center"/>
          </w:tcPr>
          <w:p>
            <w:pPr>
              <w:spacing w:after="0"/>
              <w:jc w:val="center"/>
            </w:pPr>
            <w:r/>
            <w:r>
              <w:rPr>
                <w:rFonts w:ascii="Times New Roman" w:hAnsi="Times New Roman"/>
                <w:b w:val="0"/>
                <w:sz w:val="16"/>
              </w:rPr>
              <w:t>Cm20</w:t>
            </w:r>
          </w:p>
        </w:tc>
        <w:tc>
          <w:tcPr>
            <w:tcW w:type="dxa" w:w="2088"/>
            <w:vAlign w:val="center"/>
          </w:tcPr>
          <w:p>
            <w:pPr>
              <w:spacing w:after="0"/>
              <w:jc w:val="center"/>
            </w:pPr>
            <w:r/>
            <w:r>
              <w:rPr>
                <w:rFonts w:ascii="Times New Roman" w:hAnsi="Times New Roman"/>
                <w:b w:val="0"/>
                <w:sz w:val="16"/>
              </w:rPr>
              <w:t>Linear γ=1</w:t>
            </w:r>
          </w:p>
        </w:tc>
        <w:tc>
          <w:tcPr>
            <w:tcW w:type="dxa" w:w="1944"/>
            <w:vAlign w:val="center"/>
          </w:tcPr>
          <w:p>
            <w:pPr>
              <w:spacing w:after="0"/>
              <w:jc w:val="center"/>
            </w:pPr>
            <w:r/>
            <w:r>
              <w:rPr>
                <w:rFonts w:ascii="Times New Roman" w:hAnsi="Times New Roman"/>
                <w:b w:val="0"/>
                <w:sz w:val="16"/>
              </w:rPr>
              <w:t>1.000</w:t>
            </w:r>
          </w:p>
        </w:tc>
        <w:tc>
          <w:tcPr>
            <w:tcW w:type="dxa" w:w="1728"/>
            <w:vAlign w:val="center"/>
          </w:tcPr>
          <w:p>
            <w:pPr>
              <w:spacing w:after="0"/>
              <w:jc w:val="center"/>
            </w:pPr>
            <w:r/>
            <w:r>
              <w:rPr>
                <w:rFonts w:ascii="Times New Roman" w:hAnsi="Times New Roman"/>
                <w:b w:val="0"/>
                <w:sz w:val="16"/>
              </w:rPr>
              <w:t>0.0</w:t>
            </w:r>
          </w:p>
        </w:tc>
        <w:tc>
          <w:tcPr>
            <w:tcW w:type="dxa" w:w="1440"/>
            <w:vAlign w:val="center"/>
          </w:tcPr>
          <w:p>
            <w:pPr>
              <w:spacing w:after="0"/>
              <w:jc w:val="center"/>
            </w:pPr>
            <w:r/>
            <w:r>
              <w:rPr>
                <w:rFonts w:ascii="Times New Roman" w:hAnsi="Times New Roman"/>
                <w:b w:val="0"/>
                <w:sz w:val="16"/>
              </w:rPr>
              <w:t>5/5</w:t>
            </w:r>
          </w:p>
        </w:tc>
        <w:tc>
          <w:tcPr>
            <w:tcW w:type="dxa" w:w="1296"/>
            <w:vAlign w:val="center"/>
          </w:tcPr>
          <w:p>
            <w:pPr>
              <w:spacing w:after="0"/>
              <w:jc w:val="center"/>
            </w:pPr>
            <w:r/>
            <w:r>
              <w:rPr>
                <w:rFonts w:ascii="Times New Roman" w:hAnsi="Times New Roman"/>
                <w:b w:val="0"/>
                <w:sz w:val="16"/>
              </w:rPr>
              <w:t>0.0051</w:t>
            </w:r>
          </w:p>
        </w:tc>
        <w:tc>
          <w:tcPr>
            <w:tcW w:type="dxa" w:w="1368"/>
            <w:vAlign w:val="center"/>
          </w:tcPr>
          <w:p>
            <w:pPr>
              <w:spacing w:after="0"/>
              <w:jc w:val="center"/>
            </w:pPr>
            <w:r/>
            <w:r>
              <w:rPr>
                <w:rFonts w:ascii="Times New Roman" w:hAnsi="Times New Roman"/>
                <w:b w:val="0"/>
                <w:sz w:val="16"/>
              </w:rPr>
              <w:t>0.0349</w:t>
            </w:r>
          </w:p>
        </w:tc>
      </w:tr>
      <w:tr>
        <w:tc>
          <w:tcPr>
            <w:tcW w:type="dxa" w:w="1296"/>
            <w:vAlign w:val="center"/>
          </w:tcPr>
          <w:p>
            <w:pPr>
              <w:spacing w:after="0"/>
              <w:jc w:val="center"/>
            </w:pPr>
            <w:r/>
            <w:r>
              <w:rPr>
                <w:rFonts w:ascii="Times New Roman" w:hAnsi="Times New Roman"/>
                <w:b w:val="0"/>
                <w:sz w:val="16"/>
              </w:rPr>
              <w:t>Cm20</w:t>
            </w:r>
          </w:p>
        </w:tc>
        <w:tc>
          <w:tcPr>
            <w:tcW w:type="dxa" w:w="2088"/>
            <w:vAlign w:val="center"/>
          </w:tcPr>
          <w:p>
            <w:pPr>
              <w:spacing w:after="0"/>
              <w:jc w:val="center"/>
            </w:pPr>
            <w:r/>
            <w:r>
              <w:rPr>
                <w:rFonts w:ascii="Times New Roman" w:hAnsi="Times New Roman"/>
                <w:b w:val="0"/>
                <w:sz w:val="16"/>
              </w:rPr>
              <w:t>Convex γ=2</w:t>
            </w:r>
          </w:p>
        </w:tc>
        <w:tc>
          <w:tcPr>
            <w:tcW w:type="dxa" w:w="1944"/>
            <w:vAlign w:val="center"/>
          </w:tcPr>
          <w:p>
            <w:pPr>
              <w:spacing w:after="0"/>
              <w:jc w:val="center"/>
            </w:pPr>
            <w:r/>
            <w:r>
              <w:rPr>
                <w:rFonts w:ascii="Times New Roman" w:hAnsi="Times New Roman"/>
                <w:b w:val="0"/>
                <w:sz w:val="16"/>
              </w:rPr>
              <w:t>0.994</w:t>
            </w:r>
          </w:p>
        </w:tc>
        <w:tc>
          <w:tcPr>
            <w:tcW w:type="dxa" w:w="1728"/>
            <w:vAlign w:val="center"/>
          </w:tcPr>
          <w:p>
            <w:pPr>
              <w:spacing w:after="0"/>
              <w:jc w:val="center"/>
            </w:pPr>
            <w:r/>
            <w:r>
              <w:rPr>
                <w:rFonts w:ascii="Times New Roman" w:hAnsi="Times New Roman"/>
                <w:b w:val="0"/>
                <w:sz w:val="16"/>
              </w:rPr>
              <w:t>1.0</w:t>
            </w:r>
          </w:p>
        </w:tc>
        <w:tc>
          <w:tcPr>
            <w:tcW w:type="dxa" w:w="1440"/>
            <w:vAlign w:val="center"/>
          </w:tcPr>
          <w:p>
            <w:pPr>
              <w:spacing w:after="0"/>
              <w:jc w:val="center"/>
            </w:pPr>
            <w:r/>
            <w:r>
              <w:rPr>
                <w:rFonts w:ascii="Times New Roman" w:hAnsi="Times New Roman"/>
                <w:b w:val="0"/>
                <w:sz w:val="16"/>
              </w:rPr>
              <w:t>5/5</w:t>
            </w:r>
          </w:p>
        </w:tc>
        <w:tc>
          <w:tcPr>
            <w:tcW w:type="dxa" w:w="1296"/>
            <w:vAlign w:val="center"/>
          </w:tcPr>
          <w:p>
            <w:pPr>
              <w:spacing w:after="0"/>
              <w:jc w:val="center"/>
            </w:pPr>
            <w:r/>
            <w:r>
              <w:rPr>
                <w:rFonts w:ascii="Times New Roman" w:hAnsi="Times New Roman"/>
                <w:b w:val="0"/>
                <w:sz w:val="16"/>
              </w:rPr>
              <w:t>0.0325</w:t>
            </w:r>
          </w:p>
        </w:tc>
        <w:tc>
          <w:tcPr>
            <w:tcW w:type="dxa" w:w="1368"/>
            <w:vAlign w:val="center"/>
          </w:tcPr>
          <w:p>
            <w:pPr>
              <w:spacing w:after="0"/>
              <w:jc w:val="center"/>
            </w:pPr>
            <w:r/>
            <w:r>
              <w:rPr>
                <w:rFonts w:ascii="Times New Roman" w:hAnsi="Times New Roman"/>
                <w:b w:val="0"/>
                <w:sz w:val="16"/>
              </w:rPr>
              <w:t>0.2009</w:t>
            </w:r>
          </w:p>
        </w:tc>
      </w:tr>
      <w:tr>
        <w:tc>
          <w:tcPr>
            <w:tcW w:type="dxa" w:w="1296"/>
            <w:vAlign w:val="center"/>
          </w:tcPr>
          <w:p>
            <w:pPr>
              <w:spacing w:after="0"/>
              <w:jc w:val="center"/>
            </w:pPr>
            <w:r/>
            <w:r>
              <w:rPr>
                <w:rFonts w:ascii="Times New Roman" w:hAnsi="Times New Roman"/>
                <w:b w:val="0"/>
                <w:sz w:val="16"/>
              </w:rPr>
              <w:t>C0</w:t>
            </w:r>
          </w:p>
        </w:tc>
        <w:tc>
          <w:tcPr>
            <w:tcW w:type="dxa" w:w="2088"/>
            <w:vAlign w:val="center"/>
          </w:tcPr>
          <w:p>
            <w:pPr>
              <w:spacing w:after="0"/>
              <w:jc w:val="center"/>
            </w:pPr>
            <w:r/>
            <w:r>
              <w:rPr>
                <w:rFonts w:ascii="Times New Roman" w:hAnsi="Times New Roman"/>
                <w:b w:val="0"/>
                <w:sz w:val="16"/>
              </w:rPr>
              <w:t>Concave γ=0.5</w:t>
            </w:r>
          </w:p>
        </w:tc>
        <w:tc>
          <w:tcPr>
            <w:tcW w:type="dxa" w:w="1944"/>
            <w:vAlign w:val="center"/>
          </w:tcPr>
          <w:p>
            <w:pPr>
              <w:spacing w:after="0"/>
              <w:jc w:val="center"/>
            </w:pPr>
            <w:r/>
            <w:r>
              <w:rPr>
                <w:rFonts w:ascii="Times New Roman" w:hAnsi="Times New Roman"/>
                <w:b w:val="0"/>
                <w:sz w:val="16"/>
              </w:rPr>
              <w:t>0.998</w:t>
            </w:r>
          </w:p>
        </w:tc>
        <w:tc>
          <w:tcPr>
            <w:tcW w:type="dxa" w:w="1728"/>
            <w:vAlign w:val="center"/>
          </w:tcPr>
          <w:p>
            <w:pPr>
              <w:spacing w:after="0"/>
              <w:jc w:val="center"/>
            </w:pPr>
            <w:r/>
            <w:r>
              <w:rPr>
                <w:rFonts w:ascii="Times New Roman" w:hAnsi="Times New Roman"/>
                <w:b w:val="0"/>
                <w:sz w:val="16"/>
              </w:rPr>
              <w:t>1.0</w:t>
            </w:r>
          </w:p>
        </w:tc>
        <w:tc>
          <w:tcPr>
            <w:tcW w:type="dxa" w:w="1440"/>
            <w:vAlign w:val="center"/>
          </w:tcPr>
          <w:p>
            <w:pPr>
              <w:spacing w:after="0"/>
              <w:jc w:val="center"/>
            </w:pPr>
            <w:r/>
            <w:r>
              <w:rPr>
                <w:rFonts w:ascii="Times New Roman" w:hAnsi="Times New Roman"/>
                <w:b w:val="0"/>
                <w:sz w:val="16"/>
              </w:rPr>
              <w:t>4/5</w:t>
            </w:r>
          </w:p>
        </w:tc>
        <w:tc>
          <w:tcPr>
            <w:tcW w:type="dxa" w:w="1296"/>
            <w:vAlign w:val="center"/>
          </w:tcPr>
          <w:p>
            <w:pPr>
              <w:spacing w:after="0"/>
              <w:jc w:val="center"/>
            </w:pPr>
            <w:r/>
            <w:r>
              <w:rPr>
                <w:rFonts w:ascii="Times New Roman" w:hAnsi="Times New Roman"/>
                <w:b w:val="0"/>
                <w:sz w:val="16"/>
              </w:rPr>
              <w:t>0.0406</w:t>
            </w:r>
          </w:p>
        </w:tc>
        <w:tc>
          <w:tcPr>
            <w:tcW w:type="dxa" w:w="1368"/>
            <w:vAlign w:val="center"/>
          </w:tcPr>
          <w:p>
            <w:pPr>
              <w:spacing w:after="0"/>
              <w:jc w:val="center"/>
            </w:pPr>
            <w:r/>
            <w:r>
              <w:rPr>
                <w:rFonts w:ascii="Times New Roman" w:hAnsi="Times New Roman"/>
                <w:b w:val="0"/>
                <w:sz w:val="16"/>
              </w:rPr>
              <w:t>0.2461</w:t>
            </w:r>
          </w:p>
        </w:tc>
      </w:tr>
      <w:tr>
        <w:tc>
          <w:tcPr>
            <w:tcW w:type="dxa" w:w="1296"/>
            <w:vAlign w:val="center"/>
          </w:tcPr>
          <w:p>
            <w:pPr>
              <w:spacing w:after="0"/>
              <w:jc w:val="center"/>
            </w:pPr>
            <w:r/>
            <w:r>
              <w:rPr>
                <w:rFonts w:ascii="Times New Roman" w:hAnsi="Times New Roman"/>
                <w:b w:val="0"/>
                <w:sz w:val="16"/>
              </w:rPr>
              <w:t>C0</w:t>
            </w:r>
          </w:p>
        </w:tc>
        <w:tc>
          <w:tcPr>
            <w:tcW w:type="dxa" w:w="2088"/>
            <w:vAlign w:val="center"/>
          </w:tcPr>
          <w:p>
            <w:pPr>
              <w:spacing w:after="0"/>
              <w:jc w:val="center"/>
            </w:pPr>
            <w:r/>
            <w:r>
              <w:rPr>
                <w:rFonts w:ascii="Times New Roman" w:hAnsi="Times New Roman"/>
                <w:b w:val="0"/>
                <w:sz w:val="16"/>
              </w:rPr>
              <w:t>Linear γ=1</w:t>
            </w:r>
          </w:p>
        </w:tc>
        <w:tc>
          <w:tcPr>
            <w:tcW w:type="dxa" w:w="1944"/>
            <w:vAlign w:val="center"/>
          </w:tcPr>
          <w:p>
            <w:pPr>
              <w:spacing w:after="0"/>
              <w:jc w:val="center"/>
            </w:pPr>
            <w:r/>
            <w:r>
              <w:rPr>
                <w:rFonts w:ascii="Times New Roman" w:hAnsi="Times New Roman"/>
                <w:b w:val="0"/>
                <w:sz w:val="16"/>
              </w:rPr>
              <w:t>1.000</w:t>
            </w:r>
          </w:p>
        </w:tc>
        <w:tc>
          <w:tcPr>
            <w:tcW w:type="dxa" w:w="1728"/>
            <w:vAlign w:val="center"/>
          </w:tcPr>
          <w:p>
            <w:pPr>
              <w:spacing w:after="0"/>
              <w:jc w:val="center"/>
            </w:pPr>
            <w:r/>
            <w:r>
              <w:rPr>
                <w:rFonts w:ascii="Times New Roman" w:hAnsi="Times New Roman"/>
                <w:b w:val="0"/>
                <w:sz w:val="16"/>
              </w:rPr>
              <w:t>0.0</w:t>
            </w:r>
          </w:p>
        </w:tc>
        <w:tc>
          <w:tcPr>
            <w:tcW w:type="dxa" w:w="1440"/>
            <w:vAlign w:val="center"/>
          </w:tcPr>
          <w:p>
            <w:pPr>
              <w:spacing w:after="0"/>
              <w:jc w:val="center"/>
            </w:pPr>
            <w:r/>
            <w:r>
              <w:rPr>
                <w:rFonts w:ascii="Times New Roman" w:hAnsi="Times New Roman"/>
                <w:b w:val="0"/>
                <w:sz w:val="16"/>
              </w:rPr>
              <w:t>5/5</w:t>
            </w:r>
          </w:p>
        </w:tc>
        <w:tc>
          <w:tcPr>
            <w:tcW w:type="dxa" w:w="1296"/>
            <w:vAlign w:val="center"/>
          </w:tcPr>
          <w:p>
            <w:pPr>
              <w:spacing w:after="0"/>
              <w:jc w:val="center"/>
            </w:pPr>
            <w:r/>
            <w:r>
              <w:rPr>
                <w:rFonts w:ascii="Times New Roman" w:hAnsi="Times New Roman"/>
                <w:b w:val="0"/>
                <w:sz w:val="16"/>
              </w:rPr>
              <w:t>0.0000</w:t>
            </w:r>
          </w:p>
        </w:tc>
        <w:tc>
          <w:tcPr>
            <w:tcW w:type="dxa" w:w="1368"/>
            <w:vAlign w:val="center"/>
          </w:tcPr>
          <w:p>
            <w:pPr>
              <w:spacing w:after="0"/>
              <w:jc w:val="center"/>
            </w:pPr>
            <w:r/>
            <w:r>
              <w:rPr>
                <w:rFonts w:ascii="Times New Roman" w:hAnsi="Times New Roman"/>
                <w:b w:val="0"/>
                <w:sz w:val="16"/>
              </w:rPr>
              <w:t>0.0000</w:t>
            </w:r>
          </w:p>
        </w:tc>
      </w:tr>
      <w:tr>
        <w:tc>
          <w:tcPr>
            <w:tcW w:type="dxa" w:w="1296"/>
            <w:vAlign w:val="center"/>
          </w:tcPr>
          <w:p>
            <w:pPr>
              <w:spacing w:after="0"/>
              <w:jc w:val="center"/>
            </w:pPr>
            <w:r/>
            <w:r>
              <w:rPr>
                <w:rFonts w:ascii="Times New Roman" w:hAnsi="Times New Roman"/>
                <w:b w:val="0"/>
                <w:sz w:val="16"/>
              </w:rPr>
              <w:t>C0</w:t>
            </w:r>
          </w:p>
        </w:tc>
        <w:tc>
          <w:tcPr>
            <w:tcW w:type="dxa" w:w="2088"/>
            <w:vAlign w:val="center"/>
          </w:tcPr>
          <w:p>
            <w:pPr>
              <w:spacing w:after="0"/>
              <w:jc w:val="center"/>
            </w:pPr>
            <w:r/>
            <w:r>
              <w:rPr>
                <w:rFonts w:ascii="Times New Roman" w:hAnsi="Times New Roman"/>
                <w:b w:val="0"/>
                <w:sz w:val="16"/>
              </w:rPr>
              <w:t>Convex γ=2</w:t>
            </w:r>
          </w:p>
        </w:tc>
        <w:tc>
          <w:tcPr>
            <w:tcW w:type="dxa" w:w="1944"/>
            <w:vAlign w:val="center"/>
          </w:tcPr>
          <w:p>
            <w:pPr>
              <w:spacing w:after="0"/>
              <w:jc w:val="center"/>
            </w:pPr>
            <w:r/>
            <w:r>
              <w:rPr>
                <w:rFonts w:ascii="Times New Roman" w:hAnsi="Times New Roman"/>
                <w:b w:val="0"/>
                <w:sz w:val="16"/>
              </w:rPr>
              <w:t>0.996</w:t>
            </w:r>
          </w:p>
        </w:tc>
        <w:tc>
          <w:tcPr>
            <w:tcW w:type="dxa" w:w="1728"/>
            <w:vAlign w:val="center"/>
          </w:tcPr>
          <w:p>
            <w:pPr>
              <w:spacing w:after="0"/>
              <w:jc w:val="center"/>
            </w:pPr>
            <w:r/>
            <w:r>
              <w:rPr>
                <w:rFonts w:ascii="Times New Roman" w:hAnsi="Times New Roman"/>
                <w:b w:val="0"/>
                <w:sz w:val="16"/>
              </w:rPr>
              <w:t>1.0</w:t>
            </w:r>
          </w:p>
        </w:tc>
        <w:tc>
          <w:tcPr>
            <w:tcW w:type="dxa" w:w="1440"/>
            <w:vAlign w:val="center"/>
          </w:tcPr>
          <w:p>
            <w:pPr>
              <w:spacing w:after="0"/>
              <w:jc w:val="center"/>
            </w:pPr>
            <w:r/>
            <w:r>
              <w:rPr>
                <w:rFonts w:ascii="Times New Roman" w:hAnsi="Times New Roman"/>
                <w:b w:val="0"/>
                <w:sz w:val="16"/>
              </w:rPr>
              <w:t>5/5</w:t>
            </w:r>
          </w:p>
        </w:tc>
        <w:tc>
          <w:tcPr>
            <w:tcW w:type="dxa" w:w="1296"/>
            <w:vAlign w:val="center"/>
          </w:tcPr>
          <w:p>
            <w:pPr>
              <w:spacing w:after="0"/>
              <w:jc w:val="center"/>
            </w:pPr>
            <w:r/>
            <w:r>
              <w:rPr>
                <w:rFonts w:ascii="Times New Roman" w:hAnsi="Times New Roman"/>
                <w:b w:val="0"/>
                <w:sz w:val="16"/>
              </w:rPr>
              <w:t>0.0372</w:t>
            </w:r>
          </w:p>
        </w:tc>
        <w:tc>
          <w:tcPr>
            <w:tcW w:type="dxa" w:w="1368"/>
            <w:vAlign w:val="center"/>
          </w:tcPr>
          <w:p>
            <w:pPr>
              <w:spacing w:after="0"/>
              <w:jc w:val="center"/>
            </w:pPr>
            <w:r/>
            <w:r>
              <w:rPr>
                <w:rFonts w:ascii="Times New Roman" w:hAnsi="Times New Roman"/>
                <w:b w:val="0"/>
                <w:sz w:val="16"/>
              </w:rPr>
              <w:t>0.2404</w:t>
            </w:r>
          </w:p>
        </w:tc>
      </w:tr>
      <w:tr>
        <w:tc>
          <w:tcPr>
            <w:tcW w:type="dxa" w:w="1296"/>
            <w:vAlign w:val="center"/>
          </w:tcPr>
          <w:p>
            <w:pPr>
              <w:spacing w:after="0"/>
              <w:jc w:val="center"/>
            </w:pPr>
            <w:r/>
            <w:r>
              <w:rPr>
                <w:rFonts w:ascii="Times New Roman" w:hAnsi="Times New Roman"/>
                <w:b w:val="0"/>
                <w:sz w:val="16"/>
              </w:rPr>
              <w:t>Cp20</w:t>
            </w:r>
          </w:p>
        </w:tc>
        <w:tc>
          <w:tcPr>
            <w:tcW w:type="dxa" w:w="2088"/>
            <w:vAlign w:val="center"/>
          </w:tcPr>
          <w:p>
            <w:pPr>
              <w:spacing w:after="0"/>
              <w:jc w:val="center"/>
            </w:pPr>
            <w:r/>
            <w:r>
              <w:rPr>
                <w:rFonts w:ascii="Times New Roman" w:hAnsi="Times New Roman"/>
                <w:b w:val="0"/>
                <w:sz w:val="16"/>
              </w:rPr>
              <w:t>Concave γ=0.5</w:t>
            </w:r>
          </w:p>
        </w:tc>
        <w:tc>
          <w:tcPr>
            <w:tcW w:type="dxa" w:w="1944"/>
            <w:vAlign w:val="center"/>
          </w:tcPr>
          <w:p>
            <w:pPr>
              <w:spacing w:after="0"/>
              <w:jc w:val="center"/>
            </w:pPr>
            <w:r/>
            <w:r>
              <w:rPr>
                <w:rFonts w:ascii="Times New Roman" w:hAnsi="Times New Roman"/>
                <w:b w:val="0"/>
                <w:sz w:val="16"/>
              </w:rPr>
              <w:t>0.989</w:t>
            </w:r>
          </w:p>
        </w:tc>
        <w:tc>
          <w:tcPr>
            <w:tcW w:type="dxa" w:w="1728"/>
            <w:vAlign w:val="center"/>
          </w:tcPr>
          <w:p>
            <w:pPr>
              <w:spacing w:after="0"/>
              <w:jc w:val="center"/>
            </w:pPr>
            <w:r/>
            <w:r>
              <w:rPr>
                <w:rFonts w:ascii="Times New Roman" w:hAnsi="Times New Roman"/>
                <w:b w:val="0"/>
                <w:sz w:val="16"/>
              </w:rPr>
              <w:t>2.0</w:t>
            </w:r>
          </w:p>
        </w:tc>
        <w:tc>
          <w:tcPr>
            <w:tcW w:type="dxa" w:w="1440"/>
            <w:vAlign w:val="center"/>
          </w:tcPr>
          <w:p>
            <w:pPr>
              <w:spacing w:after="0"/>
              <w:jc w:val="center"/>
            </w:pPr>
            <w:r/>
            <w:r>
              <w:rPr>
                <w:rFonts w:ascii="Times New Roman" w:hAnsi="Times New Roman"/>
                <w:b w:val="0"/>
                <w:sz w:val="16"/>
              </w:rPr>
              <w:t>5/5</w:t>
            </w:r>
          </w:p>
        </w:tc>
        <w:tc>
          <w:tcPr>
            <w:tcW w:type="dxa" w:w="1296"/>
            <w:vAlign w:val="center"/>
          </w:tcPr>
          <w:p>
            <w:pPr>
              <w:spacing w:after="0"/>
              <w:jc w:val="center"/>
            </w:pPr>
            <w:r/>
            <w:r>
              <w:rPr>
                <w:rFonts w:ascii="Times New Roman" w:hAnsi="Times New Roman"/>
                <w:b w:val="0"/>
                <w:sz w:val="16"/>
              </w:rPr>
              <w:t>0.0226</w:t>
            </w:r>
          </w:p>
        </w:tc>
        <w:tc>
          <w:tcPr>
            <w:tcW w:type="dxa" w:w="1368"/>
            <w:vAlign w:val="center"/>
          </w:tcPr>
          <w:p>
            <w:pPr>
              <w:spacing w:after="0"/>
              <w:jc w:val="center"/>
            </w:pPr>
            <w:r/>
            <w:r>
              <w:rPr>
                <w:rFonts w:ascii="Times New Roman" w:hAnsi="Times New Roman"/>
                <w:b w:val="0"/>
                <w:sz w:val="16"/>
              </w:rPr>
              <w:t>0.1839</w:t>
            </w:r>
          </w:p>
        </w:tc>
      </w:tr>
      <w:tr>
        <w:tc>
          <w:tcPr>
            <w:tcW w:type="dxa" w:w="1296"/>
            <w:vAlign w:val="center"/>
          </w:tcPr>
          <w:p>
            <w:pPr>
              <w:spacing w:after="0"/>
              <w:jc w:val="center"/>
            </w:pPr>
            <w:r/>
            <w:r>
              <w:rPr>
                <w:rFonts w:ascii="Times New Roman" w:hAnsi="Times New Roman"/>
                <w:b w:val="0"/>
                <w:sz w:val="16"/>
              </w:rPr>
              <w:t>Cp20</w:t>
            </w:r>
          </w:p>
        </w:tc>
        <w:tc>
          <w:tcPr>
            <w:tcW w:type="dxa" w:w="2088"/>
            <w:vAlign w:val="center"/>
          </w:tcPr>
          <w:p>
            <w:pPr>
              <w:spacing w:after="0"/>
              <w:jc w:val="center"/>
            </w:pPr>
            <w:r/>
            <w:r>
              <w:rPr>
                <w:rFonts w:ascii="Times New Roman" w:hAnsi="Times New Roman"/>
                <w:b w:val="0"/>
                <w:sz w:val="16"/>
              </w:rPr>
              <w:t>Linear γ=1</w:t>
            </w:r>
          </w:p>
        </w:tc>
        <w:tc>
          <w:tcPr>
            <w:tcW w:type="dxa" w:w="1944"/>
            <w:vAlign w:val="center"/>
          </w:tcPr>
          <w:p>
            <w:pPr>
              <w:spacing w:after="0"/>
              <w:jc w:val="center"/>
            </w:pPr>
            <w:r/>
            <w:r>
              <w:rPr>
                <w:rFonts w:ascii="Times New Roman" w:hAnsi="Times New Roman"/>
                <w:b w:val="0"/>
                <w:sz w:val="16"/>
              </w:rPr>
              <w:t>0.989</w:t>
            </w:r>
          </w:p>
        </w:tc>
        <w:tc>
          <w:tcPr>
            <w:tcW w:type="dxa" w:w="1728"/>
            <w:vAlign w:val="center"/>
          </w:tcPr>
          <w:p>
            <w:pPr>
              <w:spacing w:after="0"/>
              <w:jc w:val="center"/>
            </w:pPr>
            <w:r/>
            <w:r>
              <w:rPr>
                <w:rFonts w:ascii="Times New Roman" w:hAnsi="Times New Roman"/>
                <w:b w:val="0"/>
                <w:sz w:val="16"/>
              </w:rPr>
              <w:t>2.0</w:t>
            </w:r>
          </w:p>
        </w:tc>
        <w:tc>
          <w:tcPr>
            <w:tcW w:type="dxa" w:w="1440"/>
            <w:vAlign w:val="center"/>
          </w:tcPr>
          <w:p>
            <w:pPr>
              <w:spacing w:after="0"/>
              <w:jc w:val="center"/>
            </w:pPr>
            <w:r/>
            <w:r>
              <w:rPr>
                <w:rFonts w:ascii="Times New Roman" w:hAnsi="Times New Roman"/>
                <w:b w:val="0"/>
                <w:sz w:val="16"/>
              </w:rPr>
              <w:t>5/5</w:t>
            </w:r>
          </w:p>
        </w:tc>
        <w:tc>
          <w:tcPr>
            <w:tcW w:type="dxa" w:w="1296"/>
            <w:vAlign w:val="center"/>
          </w:tcPr>
          <w:p>
            <w:pPr>
              <w:spacing w:after="0"/>
              <w:jc w:val="center"/>
            </w:pPr>
            <w:r/>
            <w:r>
              <w:rPr>
                <w:rFonts w:ascii="Times New Roman" w:hAnsi="Times New Roman"/>
                <w:b w:val="0"/>
                <w:sz w:val="16"/>
              </w:rPr>
              <w:t>0.0131</w:t>
            </w:r>
          </w:p>
        </w:tc>
        <w:tc>
          <w:tcPr>
            <w:tcW w:type="dxa" w:w="1368"/>
            <w:vAlign w:val="center"/>
          </w:tcPr>
          <w:p>
            <w:pPr>
              <w:spacing w:after="0"/>
              <w:jc w:val="center"/>
            </w:pPr>
            <w:r/>
            <w:r>
              <w:rPr>
                <w:rFonts w:ascii="Times New Roman" w:hAnsi="Times New Roman"/>
                <w:b w:val="0"/>
                <w:sz w:val="16"/>
              </w:rPr>
              <w:t>0.0702</w:t>
            </w:r>
          </w:p>
        </w:tc>
      </w:tr>
      <w:tr>
        <w:tc>
          <w:tcPr>
            <w:tcW w:type="dxa" w:w="1296"/>
            <w:vAlign w:val="center"/>
          </w:tcPr>
          <w:p>
            <w:pPr>
              <w:spacing w:after="0"/>
              <w:jc w:val="center"/>
            </w:pPr>
            <w:r/>
            <w:r>
              <w:rPr>
                <w:rFonts w:ascii="Times New Roman" w:hAnsi="Times New Roman"/>
                <w:b w:val="0"/>
                <w:sz w:val="16"/>
              </w:rPr>
              <w:t>Cp20</w:t>
            </w:r>
          </w:p>
        </w:tc>
        <w:tc>
          <w:tcPr>
            <w:tcW w:type="dxa" w:w="2088"/>
            <w:vAlign w:val="center"/>
          </w:tcPr>
          <w:p>
            <w:pPr>
              <w:spacing w:after="0"/>
              <w:jc w:val="center"/>
            </w:pPr>
            <w:r/>
            <w:r>
              <w:rPr>
                <w:rFonts w:ascii="Times New Roman" w:hAnsi="Times New Roman"/>
                <w:b w:val="0"/>
                <w:sz w:val="16"/>
              </w:rPr>
              <w:t>Convex γ=2</w:t>
            </w:r>
          </w:p>
        </w:tc>
        <w:tc>
          <w:tcPr>
            <w:tcW w:type="dxa" w:w="1944"/>
            <w:vAlign w:val="center"/>
          </w:tcPr>
          <w:p>
            <w:pPr>
              <w:spacing w:after="0"/>
              <w:jc w:val="center"/>
            </w:pPr>
            <w:r/>
            <w:r>
              <w:rPr>
                <w:rFonts w:ascii="Times New Roman" w:hAnsi="Times New Roman"/>
                <w:b w:val="0"/>
                <w:sz w:val="16"/>
              </w:rPr>
              <w:t>0.987</w:t>
            </w:r>
          </w:p>
        </w:tc>
        <w:tc>
          <w:tcPr>
            <w:tcW w:type="dxa" w:w="1728"/>
            <w:vAlign w:val="center"/>
          </w:tcPr>
          <w:p>
            <w:pPr>
              <w:spacing w:after="0"/>
              <w:jc w:val="center"/>
            </w:pPr>
            <w:r/>
            <w:r>
              <w:rPr>
                <w:rFonts w:ascii="Times New Roman" w:hAnsi="Times New Roman"/>
                <w:b w:val="0"/>
                <w:sz w:val="16"/>
              </w:rPr>
              <w:t>2.0</w:t>
            </w:r>
          </w:p>
        </w:tc>
        <w:tc>
          <w:tcPr>
            <w:tcW w:type="dxa" w:w="1440"/>
            <w:vAlign w:val="center"/>
          </w:tcPr>
          <w:p>
            <w:pPr>
              <w:spacing w:after="0"/>
              <w:jc w:val="center"/>
            </w:pPr>
            <w:r/>
            <w:r>
              <w:rPr>
                <w:rFonts w:ascii="Times New Roman" w:hAnsi="Times New Roman"/>
                <w:b w:val="0"/>
                <w:sz w:val="16"/>
              </w:rPr>
              <w:t>5/5</w:t>
            </w:r>
          </w:p>
        </w:tc>
        <w:tc>
          <w:tcPr>
            <w:tcW w:type="dxa" w:w="1296"/>
            <w:vAlign w:val="center"/>
          </w:tcPr>
          <w:p>
            <w:pPr>
              <w:spacing w:after="0"/>
              <w:jc w:val="center"/>
            </w:pPr>
            <w:r/>
            <w:r>
              <w:rPr>
                <w:rFonts w:ascii="Times New Roman" w:hAnsi="Times New Roman"/>
                <w:b w:val="0"/>
                <w:sz w:val="16"/>
              </w:rPr>
              <w:t>0.0423</w:t>
            </w:r>
          </w:p>
        </w:tc>
        <w:tc>
          <w:tcPr>
            <w:tcW w:type="dxa" w:w="1368"/>
            <w:vAlign w:val="center"/>
          </w:tcPr>
          <w:p>
            <w:pPr>
              <w:spacing w:after="0"/>
              <w:jc w:val="center"/>
            </w:pPr>
            <w:r/>
            <w:r>
              <w:rPr>
                <w:rFonts w:ascii="Times New Roman" w:hAnsi="Times New Roman"/>
                <w:b w:val="0"/>
                <w:sz w:val="16"/>
              </w:rPr>
              <w:t>0.2626</w:t>
            </w:r>
          </w:p>
        </w:tc>
      </w:tr>
    </w:tbl>
    <w:p>
      <w:pPr>
        <w:spacing w:after="0"/>
      </w:pPr>
    </w:p>
    <w:p>
      <w:pPr>
        <w:spacing w:after="80" w:line="252" w:lineRule="auto"/>
      </w:pPr>
      <w:r>
        <w:rPr>
          <w:rFonts w:ascii="Times New Roman" w:hAnsi="Times New Roman"/>
          <w:sz w:val="20"/>
        </w:rPr>
        <w:t>The baseline is C0 with the linear score vector. Across all nine scenarios, the minimum STDHNLPI rank correlation was 0.987, at least four of the baseline top five units were retained, and the maximum rank shift was two positions.</w:t>
      </w:r>
    </w:p>
    <w:p>
      <w:pPr>
        <w:pStyle w:val="Heading1"/>
        <w:spacing w:before="160" w:after="80"/>
      </w:pPr>
      <w:r>
        <w:rPr>
          <w:rFonts w:ascii="Times New Roman" w:hAnsi="Times New Roman"/>
          <w:color w:val="000000"/>
        </w:rPr>
        <w:t>Table S5. Internal convergence checks</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4608"/>
            <w:vAlign w:val="center"/>
            <w:shd w:fill="D9E1F2"/>
          </w:tcPr>
          <w:p>
            <w:pPr>
              <w:spacing w:after="0"/>
              <w:jc w:val="center"/>
            </w:pPr>
            <w:r/>
            <w:r>
              <w:rPr>
                <w:rFonts w:ascii="Times New Roman" w:hAnsi="Times New Roman"/>
                <w:b/>
                <w:sz w:val="17"/>
              </w:rPr>
              <w:t>Comparison</w:t>
            </w:r>
          </w:p>
        </w:tc>
        <w:tc>
          <w:tcPr>
            <w:tcW w:type="dxa" w:w="720"/>
            <w:vAlign w:val="center"/>
            <w:shd w:fill="D9E1F2"/>
          </w:tcPr>
          <w:p>
            <w:pPr>
              <w:spacing w:after="0"/>
              <w:jc w:val="center"/>
            </w:pPr>
            <w:r/>
            <w:r>
              <w:rPr>
                <w:rFonts w:ascii="Times New Roman" w:hAnsi="Times New Roman"/>
                <w:b/>
                <w:sz w:val="17"/>
              </w:rPr>
              <w:t>N</w:t>
            </w:r>
          </w:p>
        </w:tc>
        <w:tc>
          <w:tcPr>
            <w:tcW w:type="dxa" w:w="1296"/>
            <w:vAlign w:val="center"/>
            <w:shd w:fill="D9E1F2"/>
          </w:tcPr>
          <w:p>
            <w:pPr>
              <w:spacing w:after="0"/>
              <w:jc w:val="center"/>
            </w:pPr>
            <w:r/>
            <w:r>
              <w:rPr>
                <w:rFonts w:ascii="Times New Roman" w:hAnsi="Times New Roman"/>
                <w:b/>
                <w:sz w:val="17"/>
              </w:rPr>
              <w:t>Spearman ρ</w:t>
            </w:r>
          </w:p>
        </w:tc>
        <w:tc>
          <w:tcPr>
            <w:tcW w:type="dxa" w:w="1800"/>
            <w:vAlign w:val="center"/>
            <w:shd w:fill="D9E1F2"/>
          </w:tcPr>
          <w:p>
            <w:pPr>
              <w:spacing w:after="0"/>
              <w:jc w:val="center"/>
            </w:pPr>
            <w:r/>
            <w:r>
              <w:rPr>
                <w:rFonts w:ascii="Times New Roman" w:hAnsi="Times New Roman"/>
                <w:b/>
                <w:sz w:val="17"/>
              </w:rPr>
              <w:t>Bootstrap 95% CI</w:t>
            </w:r>
          </w:p>
        </w:tc>
        <w:tc>
          <w:tcPr>
            <w:tcW w:type="dxa" w:w="1440"/>
            <w:vAlign w:val="center"/>
            <w:shd w:fill="D9E1F2"/>
          </w:tcPr>
          <w:p>
            <w:pPr>
              <w:spacing w:after="0"/>
              <w:jc w:val="center"/>
            </w:pPr>
            <w:r/>
            <w:r>
              <w:rPr>
                <w:rFonts w:ascii="Times New Roman" w:hAnsi="Times New Roman"/>
                <w:b/>
                <w:sz w:val="17"/>
              </w:rPr>
              <w:t>Permutation p</w:t>
            </w:r>
          </w:p>
        </w:tc>
        <w:tc>
          <w:tcPr>
            <w:tcW w:type="dxa" w:w="1440"/>
            <w:vAlign w:val="center"/>
            <w:shd w:fill="D9E1F2"/>
          </w:tcPr>
          <w:p>
            <w:pPr>
              <w:spacing w:after="0"/>
              <w:jc w:val="center"/>
            </w:pPr>
            <w:r/>
            <w:r>
              <w:rPr>
                <w:rFonts w:ascii="Times New Roman" w:hAnsi="Times New Roman"/>
                <w:b/>
                <w:sz w:val="17"/>
              </w:rPr>
              <w:t>Kendall τ-b</w:t>
            </w:r>
          </w:p>
        </w:tc>
      </w:tr>
      <w:tr>
        <w:tc>
          <w:tcPr>
            <w:tcW w:type="dxa" w:w="4608"/>
            <w:vAlign w:val="center"/>
          </w:tcPr>
          <w:p>
            <w:pPr>
              <w:spacing w:after="0"/>
              <w:jc w:val="left"/>
            </w:pPr>
            <w:r/>
            <w:r>
              <w:rPr>
                <w:rFonts w:ascii="Times New Roman" w:hAnsi="Times New Roman"/>
                <w:b w:val="0"/>
                <w:sz w:val="17"/>
              </w:rPr>
              <w:t>STDHNLPI vs MeanRadiance</w:t>
            </w:r>
          </w:p>
        </w:tc>
        <w:tc>
          <w:tcPr>
            <w:tcW w:type="dxa" w:w="720"/>
            <w:vAlign w:val="center"/>
          </w:tcPr>
          <w:p>
            <w:pPr>
              <w:spacing w:after="0"/>
              <w:jc w:val="center"/>
            </w:pPr>
            <w:r/>
            <w:r>
              <w:rPr>
                <w:rFonts w:ascii="Times New Roman" w:hAnsi="Times New Roman"/>
                <w:b w:val="0"/>
                <w:sz w:val="17"/>
              </w:rPr>
              <w:t>18</w:t>
            </w:r>
          </w:p>
        </w:tc>
        <w:tc>
          <w:tcPr>
            <w:tcW w:type="dxa" w:w="1296"/>
            <w:vAlign w:val="center"/>
          </w:tcPr>
          <w:p>
            <w:pPr>
              <w:spacing w:after="0"/>
              <w:jc w:val="center"/>
            </w:pPr>
            <w:r/>
            <w:r>
              <w:rPr>
                <w:rFonts w:ascii="Times New Roman" w:hAnsi="Times New Roman"/>
                <w:b w:val="0"/>
                <w:sz w:val="17"/>
              </w:rPr>
              <w:t>0.998</w:t>
            </w:r>
          </w:p>
        </w:tc>
        <w:tc>
          <w:tcPr>
            <w:tcW w:type="dxa" w:w="1800"/>
            <w:vAlign w:val="center"/>
          </w:tcPr>
          <w:p>
            <w:pPr>
              <w:spacing w:after="0"/>
              <w:jc w:val="center"/>
            </w:pPr>
            <w:r/>
            <w:r>
              <w:rPr>
                <w:rFonts w:ascii="Times New Roman" w:hAnsi="Times New Roman"/>
                <w:b w:val="0"/>
                <w:sz w:val="17"/>
              </w:rPr>
              <w:t>0.968-1.000</w:t>
            </w:r>
          </w:p>
        </w:tc>
        <w:tc>
          <w:tcPr>
            <w:tcW w:type="dxa" w:w="1440"/>
            <w:vAlign w:val="center"/>
          </w:tcPr>
          <w:p>
            <w:pPr>
              <w:spacing w:after="0"/>
              <w:jc w:val="center"/>
            </w:pPr>
            <w:r/>
            <w:r>
              <w:rPr>
                <w:rFonts w:ascii="Times New Roman" w:hAnsi="Times New Roman"/>
                <w:b w:val="0"/>
                <w:sz w:val="17"/>
              </w:rPr>
              <w:t>0.00001</w:t>
            </w:r>
          </w:p>
        </w:tc>
        <w:tc>
          <w:tcPr>
            <w:tcW w:type="dxa" w:w="1440"/>
            <w:vAlign w:val="center"/>
          </w:tcPr>
          <w:p>
            <w:pPr>
              <w:spacing w:after="0"/>
              <w:jc w:val="center"/>
            </w:pPr>
            <w:r/>
            <w:r>
              <w:rPr>
                <w:rFonts w:ascii="Times New Roman" w:hAnsi="Times New Roman"/>
                <w:b w:val="0"/>
                <w:sz w:val="17"/>
              </w:rPr>
              <w:t>0.986</w:t>
            </w:r>
          </w:p>
        </w:tc>
      </w:tr>
      <w:tr>
        <w:tc>
          <w:tcPr>
            <w:tcW w:type="dxa" w:w="4608"/>
            <w:vAlign w:val="center"/>
          </w:tcPr>
          <w:p>
            <w:pPr>
              <w:spacing w:after="0"/>
              <w:jc w:val="left"/>
            </w:pPr>
            <w:r/>
            <w:r>
              <w:rPr>
                <w:rFonts w:ascii="Times New Roman" w:hAnsi="Times New Roman"/>
                <w:b w:val="0"/>
                <w:sz w:val="17"/>
              </w:rPr>
              <w:t>ELS vs MeanExposed</w:t>
            </w:r>
          </w:p>
        </w:tc>
        <w:tc>
          <w:tcPr>
            <w:tcW w:type="dxa" w:w="720"/>
            <w:vAlign w:val="center"/>
          </w:tcPr>
          <w:p>
            <w:pPr>
              <w:spacing w:after="0"/>
              <w:jc w:val="center"/>
            </w:pPr>
            <w:r/>
            <w:r>
              <w:rPr>
                <w:rFonts w:ascii="Times New Roman" w:hAnsi="Times New Roman"/>
                <w:b w:val="0"/>
                <w:sz w:val="17"/>
              </w:rPr>
              <w:t>12</w:t>
            </w:r>
          </w:p>
        </w:tc>
        <w:tc>
          <w:tcPr>
            <w:tcW w:type="dxa" w:w="1296"/>
            <w:vAlign w:val="center"/>
          </w:tcPr>
          <w:p>
            <w:pPr>
              <w:spacing w:after="0"/>
              <w:jc w:val="center"/>
            </w:pPr>
            <w:r/>
            <w:r>
              <w:rPr>
                <w:rFonts w:ascii="Times New Roman" w:hAnsi="Times New Roman"/>
                <w:b w:val="0"/>
                <w:sz w:val="17"/>
              </w:rPr>
              <w:t>0.890</w:t>
            </w:r>
          </w:p>
        </w:tc>
        <w:tc>
          <w:tcPr>
            <w:tcW w:type="dxa" w:w="1800"/>
            <w:vAlign w:val="center"/>
          </w:tcPr>
          <w:p>
            <w:pPr>
              <w:spacing w:after="0"/>
              <w:jc w:val="center"/>
            </w:pPr>
            <w:r/>
            <w:r>
              <w:rPr>
                <w:rFonts w:ascii="Times New Roman" w:hAnsi="Times New Roman"/>
                <w:b w:val="0"/>
                <w:sz w:val="17"/>
              </w:rPr>
              <w:t>0.558-0.993</w:t>
            </w:r>
          </w:p>
        </w:tc>
        <w:tc>
          <w:tcPr>
            <w:tcW w:type="dxa" w:w="1440"/>
            <w:vAlign w:val="center"/>
          </w:tcPr>
          <w:p>
            <w:pPr>
              <w:spacing w:after="0"/>
              <w:jc w:val="center"/>
            </w:pPr>
            <w:r/>
            <w:r>
              <w:rPr>
                <w:rFonts w:ascii="Times New Roman" w:hAnsi="Times New Roman"/>
                <w:b w:val="0"/>
                <w:sz w:val="17"/>
              </w:rPr>
              <w:t>0.00031</w:t>
            </w:r>
          </w:p>
        </w:tc>
        <w:tc>
          <w:tcPr>
            <w:tcW w:type="dxa" w:w="1440"/>
            <w:vAlign w:val="center"/>
          </w:tcPr>
          <w:p>
            <w:pPr>
              <w:spacing w:after="0"/>
              <w:jc w:val="center"/>
            </w:pPr>
            <w:r/>
            <w:r>
              <w:rPr>
                <w:rFonts w:ascii="Times New Roman" w:hAnsi="Times New Roman"/>
                <w:b w:val="0"/>
                <w:sz w:val="17"/>
              </w:rPr>
              <w:t>0.763</w:t>
            </w:r>
          </w:p>
        </w:tc>
      </w:tr>
      <w:tr>
        <w:tc>
          <w:tcPr>
            <w:tcW w:type="dxa" w:w="4608"/>
            <w:vAlign w:val="center"/>
          </w:tcPr>
          <w:p>
            <w:pPr>
              <w:spacing w:after="0"/>
              <w:jc w:val="center"/>
            </w:pPr>
            <w:r/>
            <w:r>
              <w:rPr>
                <w:rFonts w:ascii="Times New Roman" w:hAnsi="Times New Roman"/>
                <w:b w:val="0"/>
                <w:sz w:val="17"/>
              </w:rPr>
              <w:t>HER vs P90</w:t>
            </w:r>
          </w:p>
        </w:tc>
        <w:tc>
          <w:tcPr>
            <w:tcW w:type="dxa" w:w="720"/>
            <w:vAlign w:val="center"/>
          </w:tcPr>
          <w:p>
            <w:pPr>
              <w:spacing w:after="0"/>
              <w:jc w:val="center"/>
            </w:pPr>
            <w:r/>
            <w:r>
              <w:rPr>
                <w:rFonts w:ascii="Times New Roman" w:hAnsi="Times New Roman"/>
                <w:b w:val="0"/>
                <w:sz w:val="17"/>
              </w:rPr>
              <w:t>18</w:t>
            </w:r>
          </w:p>
        </w:tc>
        <w:tc>
          <w:tcPr>
            <w:tcW w:type="dxa" w:w="1296"/>
            <w:vAlign w:val="center"/>
          </w:tcPr>
          <w:p>
            <w:pPr>
              <w:spacing w:after="0"/>
              <w:jc w:val="center"/>
            </w:pPr>
            <w:r/>
            <w:r>
              <w:rPr>
                <w:rFonts w:ascii="Times New Roman" w:hAnsi="Times New Roman"/>
                <w:b w:val="0"/>
                <w:sz w:val="17"/>
              </w:rPr>
              <w:t>0.493</w:t>
            </w:r>
          </w:p>
        </w:tc>
        <w:tc>
          <w:tcPr>
            <w:tcW w:type="dxa" w:w="1800"/>
            <w:vAlign w:val="center"/>
          </w:tcPr>
          <w:p>
            <w:pPr>
              <w:spacing w:after="0"/>
              <w:jc w:val="center"/>
            </w:pPr>
            <w:r/>
            <w:r>
              <w:rPr>
                <w:rFonts w:ascii="Times New Roman" w:hAnsi="Times New Roman"/>
                <w:b w:val="0"/>
                <w:sz w:val="17"/>
              </w:rPr>
              <w:t>-0.158-0.896</w:t>
            </w:r>
          </w:p>
        </w:tc>
        <w:tc>
          <w:tcPr>
            <w:tcW w:type="dxa" w:w="1440"/>
            <w:vAlign w:val="center"/>
          </w:tcPr>
          <w:p>
            <w:pPr>
              <w:spacing w:after="0"/>
              <w:jc w:val="center"/>
            </w:pPr>
            <w:r/>
            <w:r>
              <w:rPr>
                <w:rFonts w:ascii="Times New Roman" w:hAnsi="Times New Roman"/>
                <w:b w:val="0"/>
                <w:sz w:val="17"/>
              </w:rPr>
              <w:t>0.02321</w:t>
            </w:r>
          </w:p>
        </w:tc>
        <w:tc>
          <w:tcPr>
            <w:tcW w:type="dxa" w:w="1440"/>
            <w:vAlign w:val="center"/>
          </w:tcPr>
          <w:p>
            <w:pPr>
              <w:spacing w:after="0"/>
              <w:jc w:val="center"/>
            </w:pPr>
            <w:r/>
            <w:r>
              <w:rPr>
                <w:rFonts w:ascii="Times New Roman" w:hAnsi="Times New Roman"/>
                <w:b w:val="0"/>
                <w:sz w:val="17"/>
              </w:rPr>
              <w:t>0.467</w:t>
            </w:r>
          </w:p>
        </w:tc>
      </w:tr>
      <w:tr>
        <w:tc>
          <w:tcPr>
            <w:tcW w:type="dxa" w:w="4608"/>
            <w:vAlign w:val="center"/>
          </w:tcPr>
          <w:p>
            <w:pPr>
              <w:spacing w:after="0"/>
              <w:jc w:val="center"/>
            </w:pPr>
            <w:r/>
            <w:r>
              <w:rPr>
                <w:rFonts w:ascii="Times New Roman" w:hAnsi="Times New Roman"/>
                <w:b w:val="0"/>
                <w:sz w:val="17"/>
              </w:rPr>
              <w:t>HER vs P95</w:t>
            </w:r>
          </w:p>
        </w:tc>
        <w:tc>
          <w:tcPr>
            <w:tcW w:type="dxa" w:w="720"/>
            <w:vAlign w:val="center"/>
          </w:tcPr>
          <w:p>
            <w:pPr>
              <w:spacing w:after="0"/>
              <w:jc w:val="center"/>
            </w:pPr>
            <w:r/>
            <w:r>
              <w:rPr>
                <w:rFonts w:ascii="Times New Roman" w:hAnsi="Times New Roman"/>
                <w:b w:val="0"/>
                <w:sz w:val="17"/>
              </w:rPr>
              <w:t>18</w:t>
            </w:r>
          </w:p>
        </w:tc>
        <w:tc>
          <w:tcPr>
            <w:tcW w:type="dxa" w:w="1296"/>
            <w:vAlign w:val="center"/>
          </w:tcPr>
          <w:p>
            <w:pPr>
              <w:spacing w:after="0"/>
              <w:jc w:val="center"/>
            </w:pPr>
            <w:r/>
            <w:r>
              <w:rPr>
                <w:rFonts w:ascii="Times New Roman" w:hAnsi="Times New Roman"/>
                <w:b w:val="0"/>
                <w:sz w:val="17"/>
              </w:rPr>
              <w:t>0.678</w:t>
            </w:r>
          </w:p>
        </w:tc>
        <w:tc>
          <w:tcPr>
            <w:tcW w:type="dxa" w:w="1800"/>
            <w:vAlign w:val="center"/>
          </w:tcPr>
          <w:p>
            <w:pPr>
              <w:spacing w:after="0"/>
              <w:jc w:val="center"/>
            </w:pPr>
            <w:r/>
            <w:r>
              <w:rPr>
                <w:rFonts w:ascii="Times New Roman" w:hAnsi="Times New Roman"/>
                <w:b w:val="0"/>
                <w:sz w:val="17"/>
              </w:rPr>
              <w:t>0.406-0.892</w:t>
            </w:r>
          </w:p>
        </w:tc>
        <w:tc>
          <w:tcPr>
            <w:tcW w:type="dxa" w:w="1440"/>
            <w:vAlign w:val="center"/>
          </w:tcPr>
          <w:p>
            <w:pPr>
              <w:spacing w:after="0"/>
              <w:jc w:val="center"/>
            </w:pPr>
            <w:r/>
            <w:r>
              <w:rPr>
                <w:rFonts w:ascii="Times New Roman" w:hAnsi="Times New Roman"/>
                <w:b w:val="0"/>
                <w:sz w:val="17"/>
              </w:rPr>
              <w:t>0.00184</w:t>
            </w:r>
          </w:p>
        </w:tc>
        <w:tc>
          <w:tcPr>
            <w:tcW w:type="dxa" w:w="1440"/>
            <w:vAlign w:val="center"/>
          </w:tcPr>
          <w:p>
            <w:pPr>
              <w:spacing w:after="0"/>
              <w:jc w:val="center"/>
            </w:pPr>
            <w:r/>
            <w:r>
              <w:rPr>
                <w:rFonts w:ascii="Times New Roman" w:hAnsi="Times New Roman"/>
                <w:b w:val="0"/>
                <w:sz w:val="17"/>
              </w:rPr>
              <w:t>0.611</w:t>
            </w:r>
          </w:p>
        </w:tc>
      </w:tr>
    </w:tbl>
    <w:p>
      <w:pPr>
        <w:spacing w:after="0"/>
      </w:pPr>
    </w:p>
    <w:p>
      <w:pPr>
        <w:spacing w:after="80" w:line="252" w:lineRule="auto"/>
      </w:pPr>
      <w:r>
        <w:rPr>
          <w:rFonts w:ascii="Times New Roman" w:hAnsi="Times New Roman"/>
          <w:sz w:val="20"/>
        </w:rPr>
        <w:t>These are same-source convergence checks derived from VNP46A4, not independent ecological validation.</w:t>
      </w:r>
    </w:p>
    <w:p>
      <w:pPr>
        <w:pStyle w:val="Heading1"/>
        <w:spacing w:before="160" w:after="80"/>
      </w:pPr>
      <w:r>
        <w:rPr>
          <w:rFonts w:ascii="Times New Roman" w:hAnsi="Times New Roman"/>
          <w:color w:val="000000"/>
        </w:rPr>
        <w:t>Table S6. Annual sensitivity of probability-weighted corridor exposure (CEq)</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2160"/>
            <w:vAlign w:val="center"/>
            <w:shd w:fill="D9E1F2"/>
          </w:tcPr>
          <w:p>
            <w:pPr>
              <w:spacing w:after="0"/>
              <w:jc w:val="center"/>
            </w:pPr>
            <w:r/>
            <w:r>
              <w:rPr>
                <w:rFonts w:ascii="Times New Roman" w:hAnsi="Times New Roman"/>
                <w:b/>
                <w:sz w:val="17"/>
              </w:rPr>
              <w:t>Year/statistic</w:t>
            </w:r>
          </w:p>
        </w:tc>
        <w:tc>
          <w:tcPr>
            <w:tcW w:type="dxa" w:w="1656"/>
            <w:vAlign w:val="center"/>
            <w:shd w:fill="D9E1F2"/>
          </w:tcPr>
          <w:p>
            <w:pPr>
              <w:spacing w:after="0"/>
              <w:jc w:val="center"/>
            </w:pPr>
            <w:r/>
            <w:r>
              <w:rPr>
                <w:rFonts w:ascii="Times New Roman" w:hAnsi="Times New Roman"/>
                <w:b/>
                <w:sz w:val="17"/>
              </w:rPr>
              <w:t>50% CEq</w:t>
            </w:r>
          </w:p>
        </w:tc>
        <w:tc>
          <w:tcPr>
            <w:tcW w:type="dxa" w:w="1656"/>
            <w:vAlign w:val="center"/>
            <w:shd w:fill="D9E1F2"/>
          </w:tcPr>
          <w:p>
            <w:pPr>
              <w:spacing w:after="0"/>
              <w:jc w:val="center"/>
            </w:pPr>
            <w:r/>
            <w:r>
              <w:rPr>
                <w:rFonts w:ascii="Times New Roman" w:hAnsi="Times New Roman"/>
                <w:b/>
                <w:sz w:val="17"/>
              </w:rPr>
              <w:t>75% CEq</w:t>
            </w:r>
          </w:p>
        </w:tc>
        <w:tc>
          <w:tcPr>
            <w:tcW w:type="dxa" w:w="1656"/>
            <w:vAlign w:val="center"/>
            <w:shd w:fill="D9E1F2"/>
          </w:tcPr>
          <w:p>
            <w:pPr>
              <w:spacing w:after="0"/>
              <w:jc w:val="center"/>
            </w:pPr>
            <w:r/>
            <w:r>
              <w:rPr>
                <w:rFonts w:ascii="Times New Roman" w:hAnsi="Times New Roman"/>
                <w:b/>
                <w:sz w:val="17"/>
              </w:rPr>
              <w:t>95% CEq</w:t>
            </w:r>
          </w:p>
        </w:tc>
        <w:tc>
          <w:tcPr>
            <w:tcW w:type="dxa" w:w="1656"/>
            <w:vAlign w:val="center"/>
            <w:shd w:fill="D9E1F2"/>
          </w:tcPr>
          <w:p>
            <w:pPr>
              <w:spacing w:after="0"/>
              <w:jc w:val="center"/>
            </w:pPr>
            <w:r/>
            <w:r>
              <w:rPr>
                <w:rFonts w:ascii="Times New Roman" w:hAnsi="Times New Roman"/>
                <w:b/>
                <w:sz w:val="17"/>
              </w:rPr>
              <w:t>75%/50%</w:t>
            </w:r>
          </w:p>
        </w:tc>
        <w:tc>
          <w:tcPr>
            <w:tcW w:type="dxa" w:w="1656"/>
            <w:vAlign w:val="center"/>
            <w:shd w:fill="D9E1F2"/>
          </w:tcPr>
          <w:p>
            <w:pPr>
              <w:spacing w:after="0"/>
              <w:jc w:val="center"/>
            </w:pPr>
            <w:r/>
            <w:r>
              <w:rPr>
                <w:rFonts w:ascii="Times New Roman" w:hAnsi="Times New Roman"/>
                <w:b/>
                <w:sz w:val="17"/>
              </w:rPr>
              <w:t>95%/50%</w:t>
            </w:r>
          </w:p>
        </w:tc>
      </w:tr>
      <w:tr>
        <w:tc>
          <w:tcPr>
            <w:tcW w:type="dxa" w:w="2160"/>
            <w:vAlign w:val="center"/>
          </w:tcPr>
          <w:p>
            <w:pPr>
              <w:spacing w:after="0"/>
              <w:jc w:val="center"/>
            </w:pPr>
            <w:r/>
            <w:r>
              <w:rPr>
                <w:rFonts w:ascii="Times New Roman" w:hAnsi="Times New Roman"/>
                <w:b w:val="0"/>
                <w:sz w:val="17"/>
              </w:rPr>
              <w:t>2022</w:t>
            </w:r>
          </w:p>
        </w:tc>
        <w:tc>
          <w:tcPr>
            <w:tcW w:type="dxa" w:w="1656"/>
            <w:vAlign w:val="center"/>
          </w:tcPr>
          <w:p>
            <w:pPr>
              <w:spacing w:after="0"/>
              <w:jc w:val="center"/>
            </w:pPr>
            <w:r/>
            <w:r>
              <w:rPr>
                <w:rFonts w:ascii="Times New Roman" w:hAnsi="Times New Roman"/>
                <w:b w:val="0"/>
                <w:sz w:val="17"/>
              </w:rPr>
              <w:t>1.0771</w:t>
            </w:r>
          </w:p>
        </w:tc>
        <w:tc>
          <w:tcPr>
            <w:tcW w:type="dxa" w:w="1656"/>
            <w:vAlign w:val="center"/>
          </w:tcPr>
          <w:p>
            <w:pPr>
              <w:spacing w:after="0"/>
              <w:jc w:val="center"/>
            </w:pPr>
            <w:r/>
            <w:r>
              <w:rPr>
                <w:rFonts w:ascii="Times New Roman" w:hAnsi="Times New Roman"/>
                <w:b w:val="0"/>
                <w:sz w:val="17"/>
              </w:rPr>
              <w:t>0.9301</w:t>
            </w:r>
          </w:p>
        </w:tc>
        <w:tc>
          <w:tcPr>
            <w:tcW w:type="dxa" w:w="1656"/>
            <w:vAlign w:val="center"/>
          </w:tcPr>
          <w:p>
            <w:pPr>
              <w:spacing w:after="0"/>
              <w:jc w:val="center"/>
            </w:pPr>
            <w:r/>
            <w:r>
              <w:rPr>
                <w:rFonts w:ascii="Times New Roman" w:hAnsi="Times New Roman"/>
                <w:b w:val="0"/>
                <w:sz w:val="17"/>
              </w:rPr>
              <w:t>0.9109</w:t>
            </w:r>
          </w:p>
        </w:tc>
        <w:tc>
          <w:tcPr>
            <w:tcW w:type="dxa" w:w="1656"/>
            <w:vAlign w:val="center"/>
          </w:tcPr>
          <w:p>
            <w:pPr>
              <w:spacing w:after="0"/>
              <w:jc w:val="center"/>
            </w:pPr>
            <w:r/>
            <w:r>
              <w:rPr>
                <w:rFonts w:ascii="Times New Roman" w:hAnsi="Times New Roman"/>
                <w:b w:val="0"/>
                <w:sz w:val="17"/>
              </w:rPr>
              <w:t>0.8636</w:t>
            </w:r>
          </w:p>
        </w:tc>
        <w:tc>
          <w:tcPr>
            <w:tcW w:type="dxa" w:w="1656"/>
            <w:vAlign w:val="center"/>
          </w:tcPr>
          <w:p>
            <w:pPr>
              <w:spacing w:after="0"/>
              <w:jc w:val="center"/>
            </w:pPr>
            <w:r/>
            <w:r>
              <w:rPr>
                <w:rFonts w:ascii="Times New Roman" w:hAnsi="Times New Roman"/>
                <w:b w:val="0"/>
                <w:sz w:val="17"/>
              </w:rPr>
              <w:t>0.8458</w:t>
            </w:r>
          </w:p>
        </w:tc>
      </w:tr>
      <w:tr>
        <w:tc>
          <w:tcPr>
            <w:tcW w:type="dxa" w:w="2160"/>
            <w:vAlign w:val="center"/>
          </w:tcPr>
          <w:p>
            <w:pPr>
              <w:spacing w:after="0"/>
              <w:jc w:val="center"/>
            </w:pPr>
            <w:r/>
            <w:r>
              <w:rPr>
                <w:rFonts w:ascii="Times New Roman" w:hAnsi="Times New Roman"/>
                <w:b w:val="0"/>
                <w:sz w:val="17"/>
              </w:rPr>
              <w:t>2023</w:t>
            </w:r>
          </w:p>
        </w:tc>
        <w:tc>
          <w:tcPr>
            <w:tcW w:type="dxa" w:w="1656"/>
            <w:vAlign w:val="center"/>
          </w:tcPr>
          <w:p>
            <w:pPr>
              <w:spacing w:after="0"/>
              <w:jc w:val="center"/>
            </w:pPr>
            <w:r/>
            <w:r>
              <w:rPr>
                <w:rFonts w:ascii="Times New Roman" w:hAnsi="Times New Roman"/>
                <w:b w:val="0"/>
                <w:sz w:val="17"/>
              </w:rPr>
              <w:t>1.1667</w:t>
            </w:r>
          </w:p>
        </w:tc>
        <w:tc>
          <w:tcPr>
            <w:tcW w:type="dxa" w:w="1656"/>
            <w:vAlign w:val="center"/>
          </w:tcPr>
          <w:p>
            <w:pPr>
              <w:spacing w:after="0"/>
              <w:jc w:val="center"/>
            </w:pPr>
            <w:r/>
            <w:r>
              <w:rPr>
                <w:rFonts w:ascii="Times New Roman" w:hAnsi="Times New Roman"/>
                <w:b w:val="0"/>
                <w:sz w:val="17"/>
              </w:rPr>
              <w:t>1.0171</w:t>
            </w:r>
          </w:p>
        </w:tc>
        <w:tc>
          <w:tcPr>
            <w:tcW w:type="dxa" w:w="1656"/>
            <w:vAlign w:val="center"/>
          </w:tcPr>
          <w:p>
            <w:pPr>
              <w:spacing w:after="0"/>
              <w:jc w:val="center"/>
            </w:pPr>
            <w:r/>
            <w:r>
              <w:rPr>
                <w:rFonts w:ascii="Times New Roman" w:hAnsi="Times New Roman"/>
                <w:b w:val="0"/>
                <w:sz w:val="17"/>
              </w:rPr>
              <w:t>0.9840</w:t>
            </w:r>
          </w:p>
        </w:tc>
        <w:tc>
          <w:tcPr>
            <w:tcW w:type="dxa" w:w="1656"/>
            <w:vAlign w:val="center"/>
          </w:tcPr>
          <w:p>
            <w:pPr>
              <w:spacing w:after="0"/>
              <w:jc w:val="center"/>
            </w:pPr>
            <w:r/>
            <w:r>
              <w:rPr>
                <w:rFonts w:ascii="Times New Roman" w:hAnsi="Times New Roman"/>
                <w:b w:val="0"/>
                <w:sz w:val="17"/>
              </w:rPr>
              <w:t>0.8718</w:t>
            </w:r>
          </w:p>
        </w:tc>
        <w:tc>
          <w:tcPr>
            <w:tcW w:type="dxa" w:w="1656"/>
            <w:vAlign w:val="center"/>
          </w:tcPr>
          <w:p>
            <w:pPr>
              <w:spacing w:after="0"/>
              <w:jc w:val="center"/>
            </w:pPr>
            <w:r/>
            <w:r>
              <w:rPr>
                <w:rFonts w:ascii="Times New Roman" w:hAnsi="Times New Roman"/>
                <w:b w:val="0"/>
                <w:sz w:val="17"/>
              </w:rPr>
              <w:t>0.8434</w:t>
            </w:r>
          </w:p>
        </w:tc>
      </w:tr>
      <w:tr>
        <w:tc>
          <w:tcPr>
            <w:tcW w:type="dxa" w:w="2160"/>
            <w:vAlign w:val="center"/>
          </w:tcPr>
          <w:p>
            <w:pPr>
              <w:spacing w:after="0"/>
              <w:jc w:val="center"/>
            </w:pPr>
            <w:r/>
            <w:r>
              <w:rPr>
                <w:rFonts w:ascii="Times New Roman" w:hAnsi="Times New Roman"/>
                <w:b w:val="0"/>
                <w:sz w:val="17"/>
              </w:rPr>
              <w:t>2024</w:t>
            </w:r>
          </w:p>
        </w:tc>
        <w:tc>
          <w:tcPr>
            <w:tcW w:type="dxa" w:w="1656"/>
            <w:vAlign w:val="center"/>
          </w:tcPr>
          <w:p>
            <w:pPr>
              <w:spacing w:after="0"/>
              <w:jc w:val="center"/>
            </w:pPr>
            <w:r/>
            <w:r>
              <w:rPr>
                <w:rFonts w:ascii="Times New Roman" w:hAnsi="Times New Roman"/>
                <w:b w:val="0"/>
                <w:sz w:val="17"/>
              </w:rPr>
              <w:t>1.1507</w:t>
            </w:r>
          </w:p>
        </w:tc>
        <w:tc>
          <w:tcPr>
            <w:tcW w:type="dxa" w:w="1656"/>
            <w:vAlign w:val="center"/>
          </w:tcPr>
          <w:p>
            <w:pPr>
              <w:spacing w:after="0"/>
              <w:jc w:val="center"/>
            </w:pPr>
            <w:r/>
            <w:r>
              <w:rPr>
                <w:rFonts w:ascii="Times New Roman" w:hAnsi="Times New Roman"/>
                <w:b w:val="0"/>
                <w:sz w:val="17"/>
              </w:rPr>
              <w:t>0.9988</w:t>
            </w:r>
          </w:p>
        </w:tc>
        <w:tc>
          <w:tcPr>
            <w:tcW w:type="dxa" w:w="1656"/>
            <w:vAlign w:val="center"/>
          </w:tcPr>
          <w:p>
            <w:pPr>
              <w:spacing w:after="0"/>
              <w:jc w:val="center"/>
            </w:pPr>
            <w:r/>
            <w:r>
              <w:rPr>
                <w:rFonts w:ascii="Times New Roman" w:hAnsi="Times New Roman"/>
                <w:b w:val="0"/>
                <w:sz w:val="17"/>
              </w:rPr>
              <w:t>0.9728</w:t>
            </w:r>
          </w:p>
        </w:tc>
        <w:tc>
          <w:tcPr>
            <w:tcW w:type="dxa" w:w="1656"/>
            <w:vAlign w:val="center"/>
          </w:tcPr>
          <w:p>
            <w:pPr>
              <w:spacing w:after="0"/>
              <w:jc w:val="center"/>
            </w:pPr>
            <w:r/>
            <w:r>
              <w:rPr>
                <w:rFonts w:ascii="Times New Roman" w:hAnsi="Times New Roman"/>
                <w:b w:val="0"/>
                <w:sz w:val="17"/>
              </w:rPr>
              <w:t>0.8680</w:t>
            </w:r>
          </w:p>
        </w:tc>
        <w:tc>
          <w:tcPr>
            <w:tcW w:type="dxa" w:w="1656"/>
            <w:vAlign w:val="center"/>
          </w:tcPr>
          <w:p>
            <w:pPr>
              <w:spacing w:after="0"/>
              <w:jc w:val="center"/>
            </w:pPr>
            <w:r/>
            <w:r>
              <w:rPr>
                <w:rFonts w:ascii="Times New Roman" w:hAnsi="Times New Roman"/>
                <w:b w:val="0"/>
                <w:sz w:val="17"/>
              </w:rPr>
              <w:t>0.8454</w:t>
            </w:r>
          </w:p>
        </w:tc>
      </w:tr>
      <w:tr>
        <w:tc>
          <w:tcPr>
            <w:tcW w:type="dxa" w:w="2160"/>
            <w:vAlign w:val="center"/>
          </w:tcPr>
          <w:p>
            <w:pPr>
              <w:spacing w:after="0"/>
              <w:jc w:val="center"/>
            </w:pPr>
            <w:r/>
            <w:r>
              <w:rPr>
                <w:rFonts w:ascii="Times New Roman" w:hAnsi="Times New Roman"/>
                <w:b w:val="0"/>
                <w:sz w:val="17"/>
              </w:rPr>
              <w:t>Three-year mean</w:t>
            </w:r>
          </w:p>
        </w:tc>
        <w:tc>
          <w:tcPr>
            <w:tcW w:type="dxa" w:w="1656"/>
            <w:vAlign w:val="center"/>
          </w:tcPr>
          <w:p>
            <w:pPr>
              <w:spacing w:after="0"/>
              <w:jc w:val="center"/>
            </w:pPr>
            <w:r/>
            <w:r>
              <w:rPr>
                <w:rFonts w:ascii="Times New Roman" w:hAnsi="Times New Roman"/>
                <w:b w:val="0"/>
                <w:sz w:val="17"/>
              </w:rPr>
              <w:t>1.1315</w:t>
            </w:r>
          </w:p>
        </w:tc>
        <w:tc>
          <w:tcPr>
            <w:tcW w:type="dxa" w:w="1656"/>
            <w:vAlign w:val="center"/>
          </w:tcPr>
          <w:p>
            <w:pPr>
              <w:spacing w:after="0"/>
              <w:jc w:val="center"/>
            </w:pPr>
            <w:r/>
            <w:r>
              <w:rPr>
                <w:rFonts w:ascii="Times New Roman" w:hAnsi="Times New Roman"/>
                <w:b w:val="0"/>
                <w:sz w:val="17"/>
              </w:rPr>
              <w:t>0.9820</w:t>
            </w:r>
          </w:p>
        </w:tc>
        <w:tc>
          <w:tcPr>
            <w:tcW w:type="dxa" w:w="1656"/>
            <w:vAlign w:val="center"/>
          </w:tcPr>
          <w:p>
            <w:pPr>
              <w:spacing w:after="0"/>
              <w:jc w:val="center"/>
            </w:pPr>
            <w:r/>
            <w:r>
              <w:rPr>
                <w:rFonts w:ascii="Times New Roman" w:hAnsi="Times New Roman"/>
                <w:b w:val="0"/>
                <w:sz w:val="17"/>
              </w:rPr>
              <w:t>0.9559</w:t>
            </w:r>
          </w:p>
        </w:tc>
        <w:tc>
          <w:tcPr>
            <w:tcW w:type="dxa" w:w="1656"/>
            <w:vAlign w:val="center"/>
          </w:tcPr>
          <w:p>
            <w:pPr>
              <w:spacing w:after="0"/>
              <w:jc w:val="center"/>
            </w:pPr>
            <w:r/>
            <w:r>
              <w:rPr>
                <w:rFonts w:ascii="Times New Roman" w:hAnsi="Times New Roman"/>
                <w:b w:val="0"/>
                <w:sz w:val="17"/>
              </w:rPr>
              <w:t>0.8678</w:t>
            </w:r>
          </w:p>
        </w:tc>
        <w:tc>
          <w:tcPr>
            <w:tcW w:type="dxa" w:w="1656"/>
            <w:vAlign w:val="center"/>
          </w:tcPr>
          <w:p>
            <w:pPr>
              <w:spacing w:after="0"/>
              <w:jc w:val="center"/>
            </w:pPr>
            <w:r/>
            <w:r>
              <w:rPr>
                <w:rFonts w:ascii="Times New Roman" w:hAnsi="Times New Roman"/>
                <w:b w:val="0"/>
                <w:sz w:val="17"/>
              </w:rPr>
              <w:t>0.8449</w:t>
            </w:r>
          </w:p>
        </w:tc>
      </w:tr>
      <w:tr>
        <w:tc>
          <w:tcPr>
            <w:tcW w:type="dxa" w:w="2160"/>
            <w:vAlign w:val="center"/>
          </w:tcPr>
          <w:p>
            <w:pPr>
              <w:spacing w:after="0"/>
              <w:jc w:val="center"/>
            </w:pPr>
            <w:r/>
            <w:r>
              <w:rPr>
                <w:rFonts w:ascii="Times New Roman" w:hAnsi="Times New Roman"/>
                <w:b w:val="0"/>
                <w:sz w:val="17"/>
              </w:rPr>
              <w:t>Annual CV (%)</w:t>
            </w:r>
          </w:p>
        </w:tc>
        <w:tc>
          <w:tcPr>
            <w:tcW w:type="dxa" w:w="1656"/>
            <w:vAlign w:val="center"/>
          </w:tcPr>
          <w:p>
            <w:pPr>
              <w:spacing w:after="0"/>
              <w:jc w:val="center"/>
            </w:pPr>
            <w:r/>
            <w:r>
              <w:rPr>
                <w:rFonts w:ascii="Times New Roman" w:hAnsi="Times New Roman"/>
                <w:b w:val="0"/>
                <w:sz w:val="17"/>
              </w:rPr>
              <w:t>4.23</w:t>
            </w:r>
          </w:p>
        </w:tc>
        <w:tc>
          <w:tcPr>
            <w:tcW w:type="dxa" w:w="1656"/>
            <w:vAlign w:val="center"/>
          </w:tcPr>
          <w:p>
            <w:pPr>
              <w:spacing w:after="0"/>
              <w:jc w:val="center"/>
            </w:pPr>
            <w:r/>
            <w:r>
              <w:rPr>
                <w:rFonts w:ascii="Times New Roman" w:hAnsi="Times New Roman"/>
                <w:b w:val="0"/>
                <w:sz w:val="17"/>
              </w:rPr>
              <w:t>4.67</w:t>
            </w:r>
          </w:p>
        </w:tc>
        <w:tc>
          <w:tcPr>
            <w:tcW w:type="dxa" w:w="1656"/>
            <w:vAlign w:val="center"/>
          </w:tcPr>
          <w:p>
            <w:pPr>
              <w:spacing w:after="0"/>
              <w:jc w:val="center"/>
            </w:pPr>
            <w:r/>
            <w:r>
              <w:rPr>
                <w:rFonts w:ascii="Times New Roman" w:hAnsi="Times New Roman"/>
                <w:b w:val="0"/>
                <w:sz w:val="17"/>
              </w:rPr>
              <w:t>4.12</w:t>
            </w:r>
          </w:p>
        </w:tc>
        <w:tc>
          <w:tcPr>
            <w:tcW w:type="dxa" w:w="1656"/>
            <w:vAlign w:val="center"/>
          </w:tcPr>
          <w:p>
            <w:pPr>
              <w:spacing w:after="0"/>
              <w:jc w:val="center"/>
            </w:pPr>
            <w:r/>
            <w:r>
              <w:rPr>
                <w:rFonts w:ascii="Times New Roman" w:hAnsi="Times New Roman"/>
                <w:b w:val="0"/>
                <w:sz w:val="17"/>
              </w:rPr>
              <w:t>0.470</w:t>
            </w:r>
          </w:p>
        </w:tc>
        <w:tc>
          <w:tcPr>
            <w:tcW w:type="dxa" w:w="1656"/>
            <w:vAlign w:val="center"/>
          </w:tcPr>
          <w:p>
            <w:pPr>
              <w:spacing w:after="0"/>
              <w:jc w:val="center"/>
            </w:pPr>
            <w:r/>
            <w:r>
              <w:rPr>
                <w:rFonts w:ascii="Times New Roman" w:hAnsi="Times New Roman"/>
                <w:b w:val="0"/>
                <w:sz w:val="17"/>
              </w:rPr>
              <w:t>0.149</w:t>
            </w:r>
          </w:p>
        </w:tc>
      </w:tr>
    </w:tbl>
    <w:p>
      <w:pPr>
        <w:spacing w:after="0"/>
      </w:pPr>
    </w:p>
    <w:p>
      <w:pPr>
        <w:spacing w:after="80" w:line="252" w:lineRule="auto"/>
      </w:pPr>
      <w:r>
        <w:rPr>
          <w:rFonts w:ascii="Times New Roman" w:hAnsi="Times New Roman"/>
          <w:sz w:val="20"/>
        </w:rPr>
        <w:t>All three annual composites retained the 50% &gt; 75% &gt; 95% ordering (Kendall's W = 1.000). CEq units are nW cm⁻² sr⁻¹; ratios are dimensionless.</w:t>
      </w:r>
    </w:p>
    <w:p>
      <w:r>
        <w:br w:type="page"/>
      </w:r>
    </w:p>
    <w:tbl>
      <w:tblPr>
        <w:tblW w:type="auto" w:w="0"/>
        <w:jc w:val="center"/>
        <w:tblLayout w:type="fixed"/>
        <w:tblLook w:firstColumn="1" w:firstRow="1" w:lastColumn="0" w:lastRow="0" w:noHBand="0" w:noVBand="1" w:val="04A0"/>
      </w:tblPr>
      <w:tblGrid>
        <w:gridCol w:w="14256"/>
      </w:tblGrid>
      <w:tr>
        <w:tc>
          <w:tcPr>
            <w:tcW w:type="dxa" w:w="13824"/>
            <w:tcBorders>
              <w:top w:val="nil"/>
              <w:left w:val="nil"/>
              <w:bottom w:val="nil"/>
              <w:right w:val="nil"/>
              <w:insideH w:val="nil"/>
              <w:insideV w:val="nil"/>
            </w:tcBorders>
          </w:tcPr>
          <w:p>
            <w:pPr>
              <w:spacing w:after="60"/>
              <w:jc w:val="center"/>
            </w:pPr>
            <w:r>
              <w:drawing>
                <wp:inline xmlns:a="http://schemas.openxmlformats.org/drawingml/2006/main" xmlns:pic="http://schemas.openxmlformats.org/drawingml/2006/picture">
                  <wp:extent cx="8046720" cy="3657600"/>
                  <wp:docPr id="1" name="Picture 1"/>
                  <wp:cNvGraphicFramePr>
                    <a:graphicFrameLocks noChangeAspect="1"/>
                  </wp:cNvGraphicFramePr>
                  <a:graphic>
                    <a:graphicData uri="http://schemas.openxmlformats.org/drawingml/2006/picture">
                      <pic:pic>
                        <pic:nvPicPr>
                          <pic:cNvPr id="0" name="Figure_S1_Group_Effect_Stability.png"/>
                          <pic:cNvPicPr/>
                        </pic:nvPicPr>
                        <pic:blipFill>
                          <a:blip r:embed="rId9"/>
                          <a:stretch>
                            <a:fillRect/>
                          </a:stretch>
                        </pic:blipFill>
                        <pic:spPr>
                          <a:xfrm>
                            <a:off x="0" y="0"/>
                            <a:ext cx="8046720" cy="3657600"/>
                          </a:xfrm>
                          <a:prstGeom prst="rect"/>
                        </pic:spPr>
                      </pic:pic>
                    </a:graphicData>
                  </a:graphic>
                </wp:inline>
              </w:drawing>
            </w:r>
          </w:p>
          <w:p>
            <w:pPr>
              <w:spacing w:before="60" w:after="0"/>
              <w:jc w:val="center"/>
            </w:pPr>
            <w:r>
              <w:rPr>
                <w:rFonts w:ascii="Times New Roman" w:hAnsi="Times New Roman"/>
                <w:i/>
                <w:sz w:val="18"/>
              </w:rPr>
              <w:t>Figure S1. Stability of key-versus-temporary stopover effect sizes across the nine threshold-by-score scenarios. Rank-biserial correlation remained positive for STDHNLPI in every scenario, whereas conditional ELS effects were smaller and not statistically clear.</w:t>
            </w:r>
          </w:p>
        </w:tc>
      </w:tr>
    </w:tbl>
    <w:p>
      <w:r>
        <w:br w:type="page"/>
      </w:r>
    </w:p>
    <w:tbl>
      <w:tblPr>
        <w:tblW w:type="auto" w:w="0"/>
        <w:jc w:val="center"/>
        <w:tblLayout w:type="fixed"/>
        <w:tblLook w:firstColumn="1" w:firstRow="1" w:lastColumn="0" w:lastRow="0" w:noHBand="0" w:noVBand="1" w:val="04A0"/>
      </w:tblPr>
      <w:tblGrid>
        <w:gridCol w:w="14256"/>
      </w:tblGrid>
      <w:tr>
        <w:tc>
          <w:tcPr>
            <w:tcW w:type="dxa" w:w="13824"/>
            <w:tcBorders>
              <w:top w:val="nil"/>
              <w:left w:val="nil"/>
              <w:bottom w:val="nil"/>
              <w:right w:val="nil"/>
              <w:insideH w:val="nil"/>
              <w:insideV w:val="nil"/>
            </w:tcBorders>
          </w:tcPr>
          <w:p>
            <w:pPr>
              <w:spacing w:after="60"/>
              <w:jc w:val="center"/>
            </w:pPr>
            <w:r>
              <w:drawing>
                <wp:inline xmlns:a="http://schemas.openxmlformats.org/drawingml/2006/main" xmlns:pic="http://schemas.openxmlformats.org/drawingml/2006/picture">
                  <wp:extent cx="5394960" cy="4624251"/>
                  <wp:docPr id="2" name="Picture 2"/>
                  <wp:cNvGraphicFramePr>
                    <a:graphicFrameLocks noChangeAspect="1"/>
                  </wp:cNvGraphicFramePr>
                  <a:graphic>
                    <a:graphicData uri="http://schemas.openxmlformats.org/drawingml/2006/picture">
                      <pic:pic>
                        <pic:nvPicPr>
                          <pic:cNvPr id="0" name="Figure_S2_Internal_Convergence_STDHNLPI.png"/>
                          <pic:cNvPicPr/>
                        </pic:nvPicPr>
                        <pic:blipFill>
                          <a:blip r:embed="rId10"/>
                          <a:stretch>
                            <a:fillRect/>
                          </a:stretch>
                        </pic:blipFill>
                        <pic:spPr>
                          <a:xfrm>
                            <a:off x="0" y="0"/>
                            <a:ext cx="5394960" cy="4624251"/>
                          </a:xfrm>
                          <a:prstGeom prst="rect"/>
                        </pic:spPr>
                      </pic:pic>
                    </a:graphicData>
                  </a:graphic>
                </wp:inline>
              </w:drawing>
            </w:r>
          </w:p>
          <w:p>
            <w:pPr>
              <w:spacing w:before="60" w:after="0"/>
              <w:jc w:val="center"/>
            </w:pPr>
            <w:r>
              <w:rPr>
                <w:rFonts w:ascii="Times New Roman" w:hAnsi="Times New Roman"/>
                <w:i/>
                <w:sz w:val="18"/>
              </w:rPr>
              <w:t>Figure S2. Internal convergence between baseline STDHNLPI and continuous mean radiance. Labels identify the highest-exposure habitat-use units.</w:t>
            </w:r>
          </w:p>
        </w:tc>
      </w:tr>
    </w:tbl>
    <w:p>
      <w:r>
        <w:br w:type="page"/>
      </w:r>
    </w:p>
    <w:tbl>
      <w:tblPr>
        <w:tblW w:type="auto" w:w="0"/>
        <w:jc w:val="center"/>
        <w:tblLayout w:type="fixed"/>
        <w:tblLook w:firstColumn="1" w:firstRow="1" w:lastColumn="0" w:lastRow="0" w:noHBand="0" w:noVBand="1" w:val="04A0"/>
      </w:tblPr>
      <w:tblGrid>
        <w:gridCol w:w="14256"/>
      </w:tblGrid>
      <w:tr>
        <w:tc>
          <w:tcPr>
            <w:tcW w:type="dxa" w:w="13824"/>
            <w:tcBorders>
              <w:top w:val="nil"/>
              <w:left w:val="nil"/>
              <w:bottom w:val="nil"/>
              <w:right w:val="nil"/>
              <w:insideH w:val="nil"/>
              <w:insideV w:val="nil"/>
            </w:tcBorders>
          </w:tcPr>
          <w:p>
            <w:pPr>
              <w:spacing w:after="60"/>
              <w:jc w:val="center"/>
            </w:pPr>
            <w:r>
              <w:drawing>
                <wp:inline xmlns:a="http://schemas.openxmlformats.org/drawingml/2006/main" xmlns:pic="http://schemas.openxmlformats.org/drawingml/2006/picture">
                  <wp:extent cx="7040880" cy="5220520"/>
                  <wp:docPr id="3" name="Picture 3"/>
                  <wp:cNvGraphicFramePr>
                    <a:graphicFrameLocks noChangeAspect="1"/>
                  </wp:cNvGraphicFramePr>
                  <a:graphic>
                    <a:graphicData uri="http://schemas.openxmlformats.org/drawingml/2006/picture">
                      <pic:pic>
                        <pic:nvPicPr>
                          <pic:cNvPr id="0" name="Figure_S3_Normalized_CEq_Profiles.png"/>
                          <pic:cNvPicPr/>
                        </pic:nvPicPr>
                        <pic:blipFill>
                          <a:blip r:embed="rId11"/>
                          <a:stretch>
                            <a:fillRect/>
                          </a:stretch>
                        </pic:blipFill>
                        <pic:spPr>
                          <a:xfrm>
                            <a:off x="0" y="0"/>
                            <a:ext cx="7040880" cy="5220520"/>
                          </a:xfrm>
                          <a:prstGeom prst="rect"/>
                        </pic:spPr>
                      </pic:pic>
                    </a:graphicData>
                  </a:graphic>
                </wp:inline>
              </w:drawing>
            </w:r>
          </w:p>
          <w:p>
            <w:pPr>
              <w:spacing w:before="60" w:after="0"/>
              <w:jc w:val="center"/>
            </w:pPr>
            <w:r>
              <w:rPr>
                <w:rFonts w:ascii="Times New Roman" w:hAnsi="Times New Roman"/>
                <w:i/>
                <w:sz w:val="18"/>
              </w:rPr>
              <w:t>Figure S3. Annual stability of the corridor-exposure gradient after normalizing CEq to the 50% core corridor within each year.</w:t>
            </w:r>
          </w:p>
        </w:tc>
      </w:tr>
    </w:tbl>
    <w:p>
      <w:r>
        <w:br w:type="page"/>
      </w:r>
    </w:p>
    <w:tbl>
      <w:tblPr>
        <w:tblW w:type="auto" w:w="0"/>
        <w:jc w:val="center"/>
        <w:tblLayout w:type="fixed"/>
        <w:tblLook w:firstColumn="1" w:firstRow="1" w:lastColumn="0" w:lastRow="0" w:noHBand="0" w:noVBand="1" w:val="04A0"/>
      </w:tblPr>
      <w:tblGrid>
        <w:gridCol w:w="14256"/>
      </w:tblGrid>
      <w:tr>
        <w:tc>
          <w:tcPr>
            <w:tcW w:type="dxa" w:w="13824"/>
            <w:tcBorders>
              <w:top w:val="nil"/>
              <w:left w:val="nil"/>
              <w:bottom w:val="nil"/>
              <w:right w:val="nil"/>
              <w:insideH w:val="nil"/>
              <w:insideV w:val="nil"/>
            </w:tcBorders>
          </w:tcPr>
          <w:p>
            <w:pPr>
              <w:spacing w:after="60"/>
              <w:jc w:val="center"/>
            </w:pPr>
            <w:r>
              <w:drawing>
                <wp:inline xmlns:a="http://schemas.openxmlformats.org/drawingml/2006/main" xmlns:pic="http://schemas.openxmlformats.org/drawingml/2006/picture">
                  <wp:extent cx="7040880" cy="5103410"/>
                  <wp:docPr id="4" name="Picture 4"/>
                  <wp:cNvGraphicFramePr>
                    <a:graphicFrameLocks noChangeAspect="1"/>
                  </wp:cNvGraphicFramePr>
                  <a:graphic>
                    <a:graphicData uri="http://schemas.openxmlformats.org/drawingml/2006/picture">
                      <pic:pic>
                        <pic:nvPicPr>
                          <pic:cNvPr id="0" name="Figure_S4_Valid_Area_Profiles.png"/>
                          <pic:cNvPicPr/>
                        </pic:nvPicPr>
                        <pic:blipFill>
                          <a:blip r:embed="rId12"/>
                          <a:stretch>
                            <a:fillRect/>
                          </a:stretch>
                        </pic:blipFill>
                        <pic:spPr>
                          <a:xfrm>
                            <a:off x="0" y="0"/>
                            <a:ext cx="7040880" cy="5103410"/>
                          </a:xfrm>
                          <a:prstGeom prst="rect"/>
                        </pic:spPr>
                      </pic:pic>
                    </a:graphicData>
                  </a:graphic>
                </wp:inline>
              </w:drawing>
            </w:r>
          </w:p>
          <w:p>
            <w:pPr>
              <w:spacing w:before="60" w:after="0"/>
              <w:jc w:val="center"/>
            </w:pPr>
            <w:r>
              <w:rPr>
                <w:rFonts w:ascii="Times New Roman" w:hAnsi="Times New Roman"/>
                <w:i/>
                <w:sz w:val="18"/>
              </w:rPr>
              <w:t>Figure S4. Valid VNP46A4 raster area within the nested corridors for the 2022-2024 annual composites.</w:t>
            </w:r>
          </w:p>
        </w:tc>
      </w:tr>
    </w:tbl>
    <w:p>
      <w:r>
        <w:br w:type="page"/>
      </w:r>
    </w:p>
    <w:p>
      <w:pPr>
        <w:pStyle w:val="Heading1"/>
        <w:spacing w:before="160" w:after="80"/>
      </w:pPr>
      <w:r>
        <w:rPr>
          <w:rFonts w:ascii="Times New Roman" w:hAnsi="Times New Roman"/>
          <w:color w:val="000000"/>
        </w:rPr>
        <w:t>Separate supplementary data and code files</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2448"/>
            <w:vAlign w:val="center"/>
            <w:shd w:fill="D9E1F2"/>
          </w:tcPr>
          <w:p>
            <w:pPr>
              <w:spacing w:after="0"/>
              <w:jc w:val="center"/>
            </w:pPr>
            <w:r/>
            <w:r>
              <w:rPr>
                <w:rFonts w:ascii="Times New Roman" w:hAnsi="Times New Roman"/>
                <w:b/>
                <w:sz w:val="17"/>
              </w:rPr>
              <w:t>Designation</w:t>
            </w:r>
          </w:p>
        </w:tc>
        <w:tc>
          <w:tcPr>
            <w:tcW w:type="dxa" w:w="4608"/>
            <w:vAlign w:val="center"/>
            <w:shd w:fill="D9E1F2"/>
          </w:tcPr>
          <w:p>
            <w:pPr>
              <w:spacing w:after="0"/>
              <w:jc w:val="center"/>
            </w:pPr>
            <w:r/>
            <w:r>
              <w:rPr>
                <w:rFonts w:ascii="Times New Roman" w:hAnsi="Times New Roman"/>
                <w:b/>
                <w:sz w:val="17"/>
              </w:rPr>
              <w:t>File name</w:t>
            </w:r>
          </w:p>
        </w:tc>
        <w:tc>
          <w:tcPr>
            <w:tcW w:type="dxa" w:w="6912"/>
            <w:vAlign w:val="center"/>
            <w:shd w:fill="D9E1F2"/>
          </w:tcPr>
          <w:p>
            <w:pPr>
              <w:spacing w:after="0"/>
              <w:jc w:val="center"/>
            </w:pPr>
            <w:r/>
            <w:r>
              <w:rPr>
                <w:rFonts w:ascii="Times New Roman" w:hAnsi="Times New Roman"/>
                <w:b/>
                <w:sz w:val="17"/>
              </w:rPr>
              <w:t>Purpose</w:t>
            </w:r>
          </w:p>
        </w:tc>
      </w:tr>
      <w:tr>
        <w:tc>
          <w:tcPr>
            <w:tcW w:type="dxa" w:w="2448"/>
            <w:vAlign w:val="center"/>
          </w:tcPr>
          <w:p>
            <w:pPr>
              <w:spacing w:after="0"/>
              <w:jc w:val="left"/>
            </w:pPr>
            <w:r/>
            <w:r>
              <w:rPr>
                <w:rFonts w:ascii="Times New Roman" w:hAnsi="Times New Roman"/>
                <w:b w:val="0"/>
                <w:sz w:val="17"/>
              </w:rPr>
              <w:t>Supplementary Data S1</w:t>
            </w:r>
          </w:p>
        </w:tc>
        <w:tc>
          <w:tcPr>
            <w:tcW w:type="dxa" w:w="4608"/>
            <w:vAlign w:val="center"/>
          </w:tcPr>
          <w:p>
            <w:pPr>
              <w:spacing w:after="0"/>
              <w:jc w:val="left"/>
            </w:pPr>
            <w:r/>
            <w:r>
              <w:rPr>
                <w:rFonts w:ascii="Times New Roman" w:hAnsi="Times New Roman"/>
                <w:b w:val="0"/>
                <w:sz w:val="17"/>
              </w:rPr>
              <w:t>Data_S1_Habitat_Class_Areas.csv</w:t>
            </w:r>
          </w:p>
        </w:tc>
        <w:tc>
          <w:tcPr>
            <w:tcW w:type="dxa" w:w="6912"/>
            <w:vAlign w:val="center"/>
          </w:tcPr>
          <w:p>
            <w:pPr>
              <w:spacing w:after="0"/>
              <w:jc w:val="left"/>
            </w:pPr>
            <w:r/>
            <w:r>
              <w:rPr>
                <w:rFonts w:ascii="Times New Roman" w:hAnsi="Times New Roman"/>
                <w:b w:val="0"/>
                <w:sz w:val="17"/>
              </w:rPr>
              <w:t>Class-specific areas S1-S5 for all 18 habitat-use units under Cm20, C0, and Cp20 thresholds.</w:t>
            </w:r>
          </w:p>
        </w:tc>
      </w:tr>
      <w:tr>
        <w:tc>
          <w:tcPr>
            <w:tcW w:type="dxa" w:w="2448"/>
            <w:vAlign w:val="center"/>
          </w:tcPr>
          <w:p>
            <w:pPr>
              <w:spacing w:after="0"/>
              <w:jc w:val="left"/>
            </w:pPr>
            <w:r/>
            <w:r>
              <w:rPr>
                <w:rFonts w:ascii="Times New Roman" w:hAnsi="Times New Roman"/>
                <w:b w:val="0"/>
                <w:sz w:val="17"/>
              </w:rPr>
              <w:t>Supplementary Data S2</w:t>
            </w:r>
          </w:p>
        </w:tc>
        <w:tc>
          <w:tcPr>
            <w:tcW w:type="dxa" w:w="4608"/>
            <w:vAlign w:val="center"/>
          </w:tcPr>
          <w:p>
            <w:pPr>
              <w:spacing w:after="0"/>
              <w:jc w:val="left"/>
            </w:pPr>
            <w:r/>
            <w:r>
              <w:rPr>
                <w:rFonts w:ascii="Times New Roman" w:hAnsi="Times New Roman"/>
                <w:b w:val="0"/>
                <w:sz w:val="17"/>
              </w:rPr>
              <w:t>Data_S2_Habitat_Exposure_Metrics.csv</w:t>
            </w:r>
          </w:p>
        </w:tc>
        <w:tc>
          <w:tcPr>
            <w:tcW w:type="dxa" w:w="6912"/>
            <w:vAlign w:val="center"/>
          </w:tcPr>
          <w:p>
            <w:pPr>
              <w:spacing w:after="0"/>
              <w:jc w:val="left"/>
            </w:pPr>
            <w:r/>
            <w:r>
              <w:rPr>
                <w:rFonts w:ascii="Times New Roman" w:hAnsi="Times New Roman"/>
                <w:b w:val="0"/>
                <w:sz w:val="17"/>
              </w:rPr>
              <w:t>Corrected habitat metrics and continuous-radiance summaries; ELS is missing when A_lit = 0.</w:t>
            </w:r>
          </w:p>
        </w:tc>
      </w:tr>
      <w:tr>
        <w:tc>
          <w:tcPr>
            <w:tcW w:type="dxa" w:w="2448"/>
            <w:vAlign w:val="center"/>
          </w:tcPr>
          <w:p>
            <w:pPr>
              <w:spacing w:after="0"/>
              <w:jc w:val="left"/>
            </w:pPr>
            <w:r/>
            <w:r>
              <w:rPr>
                <w:rFonts w:ascii="Times New Roman" w:hAnsi="Times New Roman"/>
                <w:b w:val="0"/>
                <w:sz w:val="17"/>
              </w:rPr>
              <w:t>Supplementary Data S3</w:t>
            </w:r>
          </w:p>
        </w:tc>
        <w:tc>
          <w:tcPr>
            <w:tcW w:type="dxa" w:w="4608"/>
            <w:vAlign w:val="center"/>
          </w:tcPr>
          <w:p>
            <w:pPr>
              <w:spacing w:after="0"/>
              <w:jc w:val="left"/>
            </w:pPr>
            <w:r/>
            <w:r>
              <w:rPr>
                <w:rFonts w:ascii="Times New Roman" w:hAnsi="Times New Roman"/>
                <w:b w:val="0"/>
                <w:sz w:val="17"/>
              </w:rPr>
              <w:t>Data_S3_CEq_Annual_Sensitivity.csv</w:t>
            </w:r>
          </w:p>
        </w:tc>
        <w:tc>
          <w:tcPr>
            <w:tcW w:type="dxa" w:w="6912"/>
            <w:vAlign w:val="center"/>
          </w:tcPr>
          <w:p>
            <w:pPr>
              <w:spacing w:after="0"/>
              <w:jc w:val="left"/>
            </w:pPr>
            <w:r/>
            <w:r>
              <w:rPr>
                <w:rFonts w:ascii="Times New Roman" w:hAnsi="Times New Roman"/>
                <w:b w:val="0"/>
                <w:sz w:val="17"/>
              </w:rPr>
              <w:t>Annual CEq, valid raster area, and cell counts for the 50%, 75%, and 95% corridors in 2022-2024.</w:t>
            </w:r>
          </w:p>
        </w:tc>
      </w:tr>
      <w:tr>
        <w:tc>
          <w:tcPr>
            <w:tcW w:type="dxa" w:w="2448"/>
            <w:vAlign w:val="center"/>
          </w:tcPr>
          <w:p>
            <w:pPr>
              <w:spacing w:after="0"/>
              <w:jc w:val="left"/>
            </w:pPr>
            <w:r/>
            <w:r>
              <w:rPr>
                <w:rFonts w:ascii="Times New Roman" w:hAnsi="Times New Roman"/>
                <w:b w:val="0"/>
                <w:sz w:val="17"/>
              </w:rPr>
              <w:t>Supplementary Code S1</w:t>
            </w:r>
          </w:p>
        </w:tc>
        <w:tc>
          <w:tcPr>
            <w:tcW w:type="dxa" w:w="4608"/>
            <w:vAlign w:val="center"/>
          </w:tcPr>
          <w:p>
            <w:pPr>
              <w:spacing w:after="0"/>
              <w:jc w:val="left"/>
            </w:pPr>
            <w:r/>
            <w:r>
              <w:rPr>
                <w:rFonts w:ascii="Times New Roman" w:hAnsi="Times New Roman"/>
                <w:b w:val="0"/>
                <w:sz w:val="17"/>
              </w:rPr>
              <w:t>Code_S1_Habitat_Robustness.py</w:t>
            </w:r>
          </w:p>
        </w:tc>
        <w:tc>
          <w:tcPr>
            <w:tcW w:type="dxa" w:w="6912"/>
            <w:vAlign w:val="center"/>
          </w:tcPr>
          <w:p>
            <w:pPr>
              <w:spacing w:after="0"/>
              <w:jc w:val="left"/>
            </w:pPr>
            <w:r/>
            <w:r>
              <w:rPr>
                <w:rFonts w:ascii="Times New Roman" w:hAnsi="Times New Roman"/>
                <w:b w:val="0"/>
                <w:sz w:val="17"/>
              </w:rPr>
              <w:t>Reproduces threshold sensitivity, ordinal-score sensitivity, exact stopover comparisons, and convergence summaries.</w:t>
            </w:r>
          </w:p>
        </w:tc>
      </w:tr>
      <w:tr>
        <w:tc>
          <w:tcPr>
            <w:tcW w:type="dxa" w:w="2448"/>
            <w:vAlign w:val="center"/>
          </w:tcPr>
          <w:p>
            <w:pPr>
              <w:spacing w:after="0"/>
              <w:jc w:val="left"/>
            </w:pPr>
            <w:r/>
            <w:r>
              <w:rPr>
                <w:rFonts w:ascii="Times New Roman" w:hAnsi="Times New Roman"/>
                <w:b w:val="0"/>
                <w:sz w:val="17"/>
              </w:rPr>
              <w:t>Supplementary Code S2</w:t>
            </w:r>
          </w:p>
        </w:tc>
        <w:tc>
          <w:tcPr>
            <w:tcW w:type="dxa" w:w="4608"/>
            <w:vAlign w:val="center"/>
          </w:tcPr>
          <w:p>
            <w:pPr>
              <w:spacing w:after="0"/>
              <w:jc w:val="left"/>
            </w:pPr>
            <w:r/>
            <w:r>
              <w:rPr>
                <w:rFonts w:ascii="Times New Roman" w:hAnsi="Times New Roman"/>
                <w:b w:val="0"/>
                <w:sz w:val="17"/>
              </w:rPr>
              <w:t>Code_S2_CEq_Annual_Sensitivity.py</w:t>
            </w:r>
          </w:p>
        </w:tc>
        <w:tc>
          <w:tcPr>
            <w:tcW w:type="dxa" w:w="6912"/>
            <w:vAlign w:val="center"/>
          </w:tcPr>
          <w:p>
            <w:pPr>
              <w:spacing w:after="0"/>
              <w:jc w:val="left"/>
            </w:pPr>
            <w:r/>
            <w:r>
              <w:rPr>
                <w:rFonts w:ascii="Times New Roman" w:hAnsi="Times New Roman"/>
                <w:b w:val="0"/>
                <w:sz w:val="17"/>
              </w:rPr>
              <w:t>Reproduces the annual CEq sensitivity tables and annual/normalized profiles.</w:t>
            </w:r>
          </w:p>
        </w:tc>
      </w:tr>
    </w:tbl>
    <w:p>
      <w:pPr>
        <w:spacing w:after="0"/>
      </w:pP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