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74634" w:val="clear"/>
        <w:spacing w:after="0"/>
      </w:pPr>
      <w:r>
        <w:rPr>
          <w:sz w:val="80"/>
          <w:szCs w:val="80"/>
        </w:rPr>
        <w:t xml:space="preserve"> </w:t>
      </w:r>
    </w:p>
    <w:p>
      <w:pPr>
        <w:shd w:fill="1A3C6E" w:val="clear"/>
        <w:spacing w:after="0"/>
      </w:pPr>
      <w:r>
        <w:t xml:space="preserve"> </w:t>
      </w:r>
    </w:p>
    <w:p>
      <w:pPr>
        <w:shd w:fill="1A3C6E" w:val="clear"/>
        <w:spacing w:after="0"/>
      </w:pPr>
      <w:r>
        <w:t xml:space="preserve"> </w:t>
      </w:r>
    </w:p>
    <w:p>
      <w:pPr>
        <w:shd w:fill="1A3C6E" w:val="clear"/>
        <w:spacing w:after="0"/>
      </w:pPr>
      <w:r>
        <w:t xml:space="preserve"> </w:t>
      </w:r>
    </w:p>
    <w:p>
      <w:pPr>
        <w:shd w:fill="1A3C6E" w:val="clear"/>
        <w:spacing w:after="200"/>
        <w:jc w:val="center"/>
      </w:pPr>
      <w:r>
        <w:rPr>
          <w:rFonts w:ascii="Arial" w:cs="Arial" w:eastAsia="Arial" w:hAnsi="Arial"/>
          <w:color w:val="D6E4F5"/>
          <w:sz w:val="22"/>
          <w:szCs w:val="22"/>
        </w:rPr>
        <w:t xml:space="preserve">FIAP — Oracle Next Challenge</w:t>
      </w:r>
    </w:p>
    <w:p>
      <w:pPr>
        <w:shd w:fill="1A3C6E" w:val="clear"/>
        <w:spacing w:after="80"/>
        <w:jc w:val="center"/>
      </w:pPr>
      <w:r>
        <w:rPr>
          <w:rFonts w:ascii="Arial" w:cs="Arial" w:eastAsia="Arial" w:hAnsi="Arial"/>
          <w:b/>
          <w:bCs/>
          <w:color w:val="FFFFFF"/>
          <w:sz w:val="96"/>
          <w:szCs w:val="96"/>
        </w:rPr>
        <w:t xml:space="preserve">DataCross</w:t>
      </w:r>
    </w:p>
    <w:p>
      <w:pPr>
        <w:shd w:fill="1A3C6E" w:val="clear"/>
        <w:spacing w:after="600"/>
        <w:jc w:val="center"/>
      </w:pPr>
      <w:r>
        <w:rPr>
          <w:rFonts w:ascii="Arial" w:cs="Arial" w:eastAsia="Arial" w:hAnsi="Arial"/>
          <w:b/>
          <w:bCs/>
          <w:color w:val="D6E4F5"/>
          <w:sz w:val="36"/>
          <w:szCs w:val="36"/>
        </w:rPr>
        <w:t xml:space="preserve">Arquitetura Tecnica — Sprint 2</w:t>
      </w:r>
    </w:p>
    <w:p>
      <w:pPr>
        <w:shd w:fill="1A3C6E" w:val="clear"/>
        <w:spacing w:after="60"/>
        <w:jc w:val="center"/>
      </w:pPr>
      <w:r>
        <w:rPr>
          <w:rFonts w:ascii="Arial" w:cs="Arial" w:eastAsia="Arial" w:hAnsi="Arial"/>
          <w:b/>
          <w:bCs/>
          <w:color w:val="D6E4F5"/>
          <w:sz w:val="20"/>
          <w:szCs w:val="20"/>
        </w:rPr>
        <w:t xml:space="preserve">Versao: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1.0 — Sprint 2</w:t>
      </w:r>
    </w:p>
    <w:p>
      <w:pPr>
        <w:shd w:fill="1A3C6E" w:val="clear"/>
        <w:spacing w:after="60"/>
        <w:jc w:val="center"/>
      </w:pPr>
      <w:r>
        <w:rPr>
          <w:rFonts w:ascii="Arial" w:cs="Arial" w:eastAsia="Arial" w:hAnsi="Arial"/>
          <w:b/>
          <w:bCs/>
          <w:color w:val="D6E4F5"/>
          <w:sz w:val="20"/>
          <w:szCs w:val="20"/>
        </w:rPr>
        <w:t xml:space="preserve">Data: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Maio 2025</w:t>
      </w:r>
    </w:p>
    <w:p>
      <w:pPr>
        <w:shd w:fill="1A3C6E" w:val="clear"/>
        <w:spacing w:after="60"/>
        <w:jc w:val="center"/>
      </w:pPr>
      <w:r>
        <w:rPr>
          <w:rFonts w:ascii="Arial" w:cs="Arial" w:eastAsia="Arial" w:hAnsi="Arial"/>
          <w:b/>
          <w:bCs/>
          <w:color w:val="D6E4F5"/>
          <w:sz w:val="20"/>
          <w:szCs w:val="20"/>
        </w:rPr>
        <w:t xml:space="preserve">Contexto: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Oracle Cloud Infrastructure (OCI)</w:t>
      </w:r>
    </w:p>
    <w:p>
      <w:pPr>
        <w:shd w:fill="1A3C6E" w:val="clear"/>
        <w:spacing w:after="60"/>
        <w:jc w:val="center"/>
      </w:pPr>
      <w:r>
        <w:rPr>
          <w:rFonts w:ascii="Arial" w:cs="Arial" w:eastAsia="Arial" w:hAnsi="Arial"/>
          <w:b/>
          <w:bCs/>
          <w:color w:val="D6E4F5"/>
          <w:sz w:val="20"/>
          <w:szCs w:val="20"/>
        </w:rPr>
        <w:t xml:space="preserve">Integracao: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CROSS / SIRESP / SUS</w:t>
      </w:r>
    </w:p>
    <w:p>
      <w:pPr>
        <w:shd w:fill="1A3C6E" w:val="clear"/>
        <w:spacing w:after="0"/>
      </w:pPr>
      <w:r>
        <w:t xml:space="preserve"> </w:t>
      </w:r>
    </w:p>
    <w:p>
      <w:pPr>
        <w:shd w:fill="1A3C6E" w:val="clear"/>
        <w:spacing w:after="0"/>
      </w:pPr>
      <w:r>
        <w:t xml:space="preserve"> </w:t>
      </w:r>
    </w:p>
    <w:p>
      <w:pPr>
        <w:shd w:fill="1A3C6E" w:val="clear"/>
        <w:spacing w:after="0"/>
      </w:pPr>
      <w:r>
        <w:t xml:space="preserve"> </w:t>
      </w:r>
    </w:p>
    <w:p>
      <w:pPr>
        <w:shd w:fill="1A3C6E" w:val="clear"/>
        <w:spacing w:after="0"/>
      </w:pPr>
      <w:r>
        <w:t xml:space="preserve"> </w:t>
      </w:r>
    </w:p>
    <w:p>
      <w:pPr>
        <w:shd w:fill="1A3C6E" w:val="clear"/>
        <w:spacing w:after="0"/>
      </w:pPr>
      <w:r>
        <w:t xml:space="preserve"> </w:t>
      </w:r>
    </w:p>
    <w:p>
      <w:pPr>
        <w:shd w:fill="1A3C6E" w:val="clear"/>
        <w:spacing w:after="0"/>
      </w:pPr>
      <w:r>
        <w:t xml:space="preserve"> </w:t>
      </w:r>
    </w:p>
    <w:p>
      <w:pPr>
        <w:shd w:fill="1A3C6E" w:val="clear"/>
        <w:spacing w:after="0"/>
      </w:pPr>
      <w:r>
        <w:t xml:space="preserve"> </w:t>
      </w:r>
    </w:p>
    <w:p>
      <w:pPr>
        <w:shd w:fill="1A3C6E" w:val="clear"/>
        <w:spacing w:after="0"/>
      </w:pPr>
      <w:r>
        <w:t xml:space="preserve"> </w:t>
      </w:r>
    </w:p>
    <w:p>
      <w:pPr>
        <w:shd w:fill="1A3C6E" w:val="clear"/>
        <w:spacing w:after="0"/>
        <w:jc w:val="center"/>
      </w:pPr>
      <w:r>
        <w:rPr>
          <w:rFonts w:ascii="Arial" w:cs="Arial" w:eastAsia="Arial" w:hAnsi="Arial"/>
          <w:color w:val="99B8D9"/>
          <w:sz w:val="22"/>
          <w:szCs w:val="22"/>
        </w:rPr>
        <w:t xml:space="preserve">Plataforma de IA para otimizacao de leitos hospitalares no SUS</w:t>
      </w:r>
    </w:p>
    <w:p>
      <w:pPr>
        <w:shd w:fill="C74634" w:val="clear"/>
        <w:spacing w:after="0"/>
      </w:pPr>
      <w:r>
        <w:rPr>
          <w:sz w:val="80"/>
          <w:szCs w:val="80"/>
        </w:rPr>
        <w:t xml:space="preserve"> </w:t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left w:val="single" w:color="C74634" w:sz="24" w:space="8"/>
        </w:pBdr>
        <w:shd w:fill="1A3C6E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Contexto do Projeto</w:t>
      </w:r>
    </w:p>
    <w:p>
      <w:pPr>
        <w:spacing w:after="80"/>
      </w:pPr>
      <w:r>
        <w:t xml:space="preserve"/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DataCross e uma plataforma desenvolvida no contexto do Oracle Next Challenge da FIAP. Seu objetivo e utilizar Inteligencia Artificial com processamento de linguagem natural (NLP) para analisar prontuarios medicos e identificar pacientes aptos para alta ou transferencia, otimizando a rotatividade de leitos no Sistema Unico de Saude (SUS).</w:t>
      </w:r>
    </w:p>
    <w:p>
      <w:pPr>
        <w:spacing w:after="40"/>
      </w:pPr>
      <w:r>
        <w:t xml:space="preserve"/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se integra conceitualmente ao CROSS (Central de Regulacao de Oferta de Servicos de Saude) e ao SIRESP (Sistema de Regulacao de Saude de Pernambuco), atuando como camada inteligente de suporte a decisao para medicos e reguladores.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1.1 Problema Central</w:t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ocupacao de leitos hospitalares no SUS e um gargalo critico de gestao. Pacientes permanecem internados alem do necessario por falta de ferramentas que identifiquem proativamente candidatos a alta ou transferencia. O DataCross automatiza essa triagem com base em evidencias clinicas e dados epidemiologicos, reduzindo o tempo de decisao e aumentando a disponibilidade de leitos.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1.2 Escopo da Sprint 2</w:t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sprint cobre o desenho e planejamento arquitetural completo da solucao, incluindo: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Definicao do simulador de dados de entrada (substituto dos prontuarios hospitalares reais)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Pipeline de processamento NLP com OCI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Camada de conhecimento externo (TabNet, CID-10, protocolos MS, CNES)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Motor de scoring e decisao clinica fundamentada em evidencias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Armazenamento no Oracle Autonomous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Interface dual no Oracle APEX (medico e regulador)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Controles de seguranca e conformidade com a LGPD</w:t>
      </w:r>
    </w:p>
    <w:p>
      <w:pPr>
        <w:spacing w:after="160"/>
      </w:pPr>
      <w:r>
        <w:t xml:space="preserve"/>
      </w:r>
    </w:p>
    <w:p>
      <w:pPr>
        <w:pStyle w:val="Heading1"/>
        <w:pBdr>
          <w:left w:val="single" w:color="C74634" w:sz="24" w:space="8"/>
        </w:pBdr>
        <w:shd w:fill="1A3C6E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Visao Geral da Arquitetura</w:t>
      </w:r>
    </w:p>
    <w:p>
      <w:pPr>
        <w:spacing w:after="80"/>
      </w:pPr>
      <w:r>
        <w:t xml:space="preserve"/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arquitetura e integralmente baseada em Oracle Cloud Infrastructure (OCI), organizada em seis camadas funcionais:</w:t>
      </w:r>
    </w:p>
    <w:p>
      <w:pPr>
        <w:spacing w:after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OCI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— Entrada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Simulador Python / Cloud Shell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Gera prontuarios sinteticos em 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— Ingestao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OCI API Gateway + IAM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Autenticacao, roteamento e TLS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— NLP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OCI Language + OCI Functions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Extracao de entidades clinicas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— Conhecimento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Autonomous DB (tabelas ref_*)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Benchmarks, ontologias, protocolos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— Decisao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OCI Functions (scoring engine)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0-1 com fatores auditaveis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— Interface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Oracle APEX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Dashboards medico e regulador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C74634" w:sz="12" w:space="6"/>
        </w:pBdr>
        <w:shd w:fill="FFF8F6" w:val="clear"/>
        <w:spacing w:after="100"/>
        <w:ind w:left="200" w:right="200"/>
      </w:pPr>
      <w:r>
        <w:rPr>
          <w:rFonts w:ascii="Arial" w:cs="Arial" w:eastAsia="Arial" w:hAnsi="Arial"/>
          <w:b/>
          <w:bCs/>
          <w:color w:val="C74634"/>
          <w:sz w:val="20"/>
          <w:szCs w:val="20"/>
        </w:rPr>
        <w:t xml:space="preserve">Nota: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A stack 100% OCI elimina integracao cross-cloud e simplifica a governanca de dados para conformidade com a LGPD.</w:t>
      </w:r>
    </w:p>
    <w:p>
      <w:pPr>
        <w:spacing w:after="160"/>
      </w:pPr>
      <w:r>
        <w:t xml:space="preserve"/>
      </w:r>
    </w:p>
    <w:p>
      <w:pPr>
        <w:pStyle w:val="Heading1"/>
        <w:pBdr>
          <w:left w:val="single" w:color="C74634" w:sz="24" w:space="8"/>
        </w:pBdr>
        <w:shd w:fill="1A3C6E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Entrada de Dados — Simulador de Prontuarios</w:t>
      </w:r>
    </w:p>
    <w:p>
      <w:pPr>
        <w:spacing w:after="80"/>
      </w:pPr>
      <w:r>
        <w:t xml:space="preserve"/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Como o projeto nao possui acesso aos sistemas hospitalares reais (HIS/PEP dos hospitais), um simulador Python gera prontuarios sinteticos que replicam a estrutura dos dados reais. Em producao, este simulador seria substituido por um conector certificado aos sistemas legados.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3.1 Justificativa do Formato JSON</w:t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formato JSON foi escolhido em vez de CSV por tres razoes tecnicas: (1) textos clinicos contem virgulas que quebram o parsing de CSV; (2) JSON e diretamente consumivel pelo OCI Functions sem ETL adicional; (3) permite aninhar dados estruturados (CIDs, metadados) junto ao texto livre no mesmo payload.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3.2 Estrutura do Payload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{"prontuario_id": "HU-SP-20250612-00847",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"hospital_cnes": "2077485",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"paciente": {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"id_anonimizado": "hash-sha256-do-cpf",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"idade": 67,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"sexo": "M",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"municipio_ibge": "3550308"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},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"data_internacao": "2025-06-05T14:30:00Z",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"leito": "UTI-A-12",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"texto_clinico": "Paciente admitido por insuficiencia cardiaca..."),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"cids_primarios": ["I50.0"],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"status_sugerido": "pendente_avaliacao"}</w:t>
      </w:r>
    </w:p>
    <w:p>
      <w:pPr>
        <w:spacing w:after="80"/>
      </w:pPr>
      <w:r>
        <w:t xml:space="preserve"/>
      </w:r>
    </w:p>
    <w:p>
      <w:pPr>
        <w:pBdr>
          <w:left w:val="single" w:color="C74634" w:sz="12" w:space="6"/>
        </w:pBdr>
        <w:shd w:fill="FFF8F6" w:val="clear"/>
        <w:spacing w:after="100"/>
        <w:ind w:left="200" w:right="200"/>
      </w:pPr>
      <w:r>
        <w:rPr>
          <w:rFonts w:ascii="Arial" w:cs="Arial" w:eastAsia="Arial" w:hAnsi="Arial"/>
          <w:b/>
          <w:bCs/>
          <w:color w:val="C74634"/>
          <w:sz w:val="20"/>
          <w:szCs w:val="20"/>
        </w:rPr>
        <w:t xml:space="preserve">Nota: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O campo id_anonimizado usa hash SHA-256 do CPF — nenhum dado pessoal identificavel transita no pipeline. Conformidade com Art. 46 da LGPD.</w:t>
      </w:r>
    </w:p>
    <w:p>
      <w:pPr>
        <w:spacing w:after="160"/>
      </w:pPr>
      <w:r>
        <w:t xml:space="preserve"/>
      </w:r>
    </w:p>
    <w:p>
      <w:pPr>
        <w:pStyle w:val="Heading1"/>
        <w:pBdr>
          <w:left w:val="single" w:color="C74634" w:sz="24" w:space="8"/>
        </w:pBdr>
        <w:shd w:fill="1A3C6E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Camada de Processamento — OCI Language (NLP)</w:t>
      </w:r>
    </w:p>
    <w:p>
      <w:pPr>
        <w:spacing w:after="80"/>
      </w:pPr>
      <w:r>
        <w:t xml:space="preserve"/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OCI Language e o servico gerenciado de NLP da Oracle Cloud. Ele processa o campo texto_clinico do prontuario e extrai entidades clinicas estruturadas sem necessidade de infraestrutura de ML propria (sem GPUs, sem MLOps). O modelo suporta portugues e pode ser aprimorado com modelos customizados treinados via AutoML nativo.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4.1 Fluxo Tecnico Detalhado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Recepcao: JSON chega ao OCI API Gateway, autenticado via IAM, repassado para OCI Function.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Pre-processamento (ETL leve): A Function extrai texto_clinico, sanitiza caracteres especiais e normaliza acentos.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Chamada ao OCI Language: Tres endpoints em paralelo — Named Entity Recognition (NER), deteccao de sentimento clinico e classificacao de texto.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Enriquecimento do payload: Resultados da IA agregados ao JSON original com entidades, score de confianca e timestamp.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Persistencia: Payload enriquecido gravado no Autonomous Database via ORDS REST — sem driver JDBC na Function.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4.2 Exemplo de Output do OCI Language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"ia_entidades": [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{"texto": "insuf. cardiaca congestiva",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"tipo": "CONDITION", "confianca": 0.97},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{"texto": "I50.0",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"tipo": "CID", "confianca": 0.99},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{"texto": "estabilidade hemodinamica",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"tipo": "CLINICAL_STATUS", "confianca": 0.89}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]</w:t>
      </w:r>
    </w:p>
    <w:p>
      <w:pPr>
        <w:spacing w:after="160"/>
      </w:pPr>
      <w:r>
        <w:t xml:space="preserve"/>
      </w:r>
    </w:p>
    <w:p>
      <w:pPr>
        <w:pStyle w:val="Heading1"/>
        <w:pBdr>
          <w:left w:val="single" w:color="C74634" w:sz="24" w:space="8"/>
        </w:pBdr>
        <w:shd w:fill="1A3C6E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Camada de Conhecimento Externo</w:t>
      </w:r>
    </w:p>
    <w:p>
      <w:pPr>
        <w:spacing w:after="80"/>
      </w:pPr>
      <w:r>
        <w:t xml:space="preserve"/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e a principal inovacao arquitetural da Sprint 2. O OCI Language puro extrai entidades do texto, mas nao sabe o que fazer com elas. A camada de conhecimento externo converte extracao de texto em decisao clinica fundamentada em evidencias, conectando o sistema a quatro fontes externas.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5.1 Fonte 1 — TabNet / DATASUS</w:t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TabNet e o sistema de tabulacao de dados epidemiologicos do DATASUS, mantido pelo Ministerio da Saude. O DataCross consome tres conjuntos de dados via carga mensal automatizada:</w:t>
      </w:r>
    </w:p>
    <w:p>
      <w:pPr>
        <w:spacing w:after="4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1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TabNet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na decisao de alta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Tempo medio de permanencia por CID e UF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Paciente acima da media e candidato prioritario a avaliacao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Taxa de reinternacao em 30 dias por diagnostico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CIDs com alta reinternacao exigem score minimo maior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Procedimentos pos-alta por municipio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Viabilidade da alta vs. transferencia conforme suporte local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carga e executada por uma OCI Function agendada via OCI Scheduler (execucao mensal), que faz POST nos endpoints do TabNet, processa o CSV retornado e grava na tabela ref_cid_benchmarks do Autonomous Database via MERGE SQL.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5.2 Fonte 2 — Ontologia Medica (CID-10 + Glossario Clinico)</w:t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Duas tabelas de referencia compõem a ontologia medica do sistema:</w:t>
      </w:r>
    </w:p>
    <w:p>
      <w:pPr>
        <w:spacing w:after="4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ref_cid10 — Tabela completa CID-10</w:t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Carregada a partir do arquivo CSV disponivel no FTP do DATASUS. Contem codigo, descricao, categoria, capitulo, nivel de gravidade base e elegibilidade para alta ambulatorial. Atualizada anualmente.</w:t>
      </w:r>
    </w:p>
    <w:p>
      <w:pPr>
        <w:spacing w:after="4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ref_termos_clinicos — Dicionario de termos</w:t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Glossario de termos clinicos mapeados a pesos numericos de impacto na decisao. Curado por revisao medica com base em documentos do CFM, SBRA e Ministerio da Saude.</w:t>
      </w:r>
    </w:p>
    <w:p>
      <w:pPr>
        <w:spacing w:after="40"/>
      </w:pPr>
      <w:r>
        <w:t xml:space="preserve"/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 clinico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 NLP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no 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estabilidade hemodinamica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SINAL_FAVORAVEL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+0.85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 edema periferico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SINAL_FAVORAVEL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+0.70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saturacao &gt;95% ar ambiente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SINAL_FAVORAVEL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+0.90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febre persistente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SINAL_DESFAVORAVEL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-0.80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necessidade de vasopressor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SINAL_DESFAVORAVEL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-0.95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confusao mental aguda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SINAL_DESFAVORAVEL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-0.75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5.3 Fonte 3 — Protocolos Clinicos (PCDT/MS)</w:t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 Protocolos Clinicos e Diretrizes Terapeuticas (PCDT) do Ministerio da Saude sao processados via OCI Document Understanding. Cada protocolo e convertido em registros na tabela ref_criterios_alta, com tipo OBRIGATORIO, RECOMENDADO ou CONTRAINDICACAO.</w:t>
      </w:r>
    </w:p>
    <w:p>
      <w:pPr>
        <w:spacing w:after="40"/>
      </w:pPr>
      <w:r>
        <w:t xml:space="preserve"/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Criterios do tipo CONTRAINDICACAO anulam o score — se detectados no texto clinico, o sistema marca o paciente como MANTER_INTERNADO independentemente dos demais sinais, garantindo a seguranca da decisao.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5.4 Fonte 4 — CNES (Cadastro Nacional de Estabelecimentos)</w:t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API publica do CNES e consultada diariamente para manter a tabela ref_estabelecimentos atualizada com disponibilidade de leitos, cobertura de UTI e suporte ambulatorial por municipio. Essa informacao permite a IA diferenciar entre alta direta e transferencia com base na capacidade de acolhimento do territorio do paciente.</w:t>
      </w:r>
    </w:p>
    <w:p>
      <w:pPr>
        <w:spacing w:after="160"/>
      </w:pPr>
      <w:r>
        <w:t xml:space="preserve"/>
      </w:r>
    </w:p>
    <w:p>
      <w:pPr>
        <w:pStyle w:val="Heading1"/>
        <w:pBdr>
          <w:left w:val="single" w:color="C74634" w:sz="24" w:space="8"/>
        </w:pBdr>
        <w:shd w:fill="1A3C6E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Motor de Scoring e Decisao Clinica</w:t>
      </w:r>
    </w:p>
    <w:p>
      <w:pPr>
        <w:spacing w:after="80"/>
      </w:pPr>
      <w:r>
        <w:t xml:space="preserve"/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motor de scoring e executado dentro da OCI Function como segundo estagio do pipeline, apos a extracao NLP. Ele combina quatro fontes de evidencia para calcular um score final entre 0 e 1, acompanhado de uma lista auditavel de fatores que justificam a decisao.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6.1 Logica de Composicao do Score</w:t>
      </w:r>
    </w:p>
    <w:p>
      <w:pPr>
        <w:spacing w:after="4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3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maximo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de dados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Tempo de internacao vs. media SUS (TabNet)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ref_cid_benchmarks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Sinais clinicos favoraveis (NLP + glossario)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+0.90 cada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ref_termos_clinicos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Sinais clinicos desfavoraveis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-0.95 cada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ref_termos_clinicos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Conformidade com criterios PCDT/MS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Anula score se CONTRAINDICACAO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ref_criterios_alta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Viabilidade territorial (CNES)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-0.20 se sem suporte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ref_estabelecimentos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6.2 Classificacao Final</w:t>
      </w:r>
    </w:p>
    <w:p>
      <w:pPr>
        <w:spacing w:after="4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final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inferido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 sugerida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0.75 a 1.00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APTO_ALTA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Medico valida e aciona processo de 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0.50 a 0.74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POSSIVEL_TRANSFERENCIA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Regulador CROSS avalia leito disponivel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0.30 a 0.49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PENDENTE_AVALIACAO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Medico avalia com suporte dos fatores listados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0.00 a 0.29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MANTER_INTERNADO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Nenhuma acao de saida indicada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6.3 Auditabilidade — Fatores Visiveis ao Medico</w:t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campo fatores_decisao retorna uma lista textual que o APEX exibe ao medico, tornando o raciocinio da IA completamente transparente. Exemplo para score 0.83:</w:t>
      </w:r>
    </w:p>
    <w:p>
      <w:pPr>
        <w:spacing w:after="40"/>
      </w:pPr>
      <w:r>
        <w:t xml:space="preserve"/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Score: 0.83 — Apto para alta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+ Internacao 9 dias | media SUS para I50.0 em SP: 7,2 dias (+0.30)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+ Estabilidade hemodinamica detectada (+0.85)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+ Sem edema periferico detectado (+0.70)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Municipio com cobertura ambulatorial SUS (neutro)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Nenhuma contraindicacao PCDT identificada</w:t>
      </w:r>
    </w:p>
    <w:p>
      <w:pPr>
        <w:spacing w:after="80"/>
      </w:pPr>
      <w:r>
        <w:t xml:space="preserve"/>
      </w:r>
    </w:p>
    <w:p>
      <w:pPr>
        <w:pBdr>
          <w:left w:val="single" w:color="C74634" w:sz="12" w:space="6"/>
        </w:pBdr>
        <w:shd w:fill="FFF8F6" w:val="clear"/>
        <w:spacing w:after="100"/>
        <w:ind w:left="200" w:right="200"/>
      </w:pPr>
      <w:r>
        <w:rPr>
          <w:rFonts w:ascii="Arial" w:cs="Arial" w:eastAsia="Arial" w:hAnsi="Arial"/>
          <w:b/>
          <w:bCs/>
          <w:color w:val="C74634"/>
          <w:sz w:val="20"/>
          <w:szCs w:val="20"/>
        </w:rPr>
        <w:t xml:space="preserve">Nota: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O medico nao esta aprovando uma caixa preta — esta concordando (ou discordando) com evidencias rastraveis. Isso e requisito etico e legal para sistemas de apoio a decisao clinica.</w:t>
      </w:r>
    </w:p>
    <w:p>
      <w:pPr>
        <w:spacing w:after="160"/>
      </w:pPr>
      <w:r>
        <w:t xml:space="preserve"/>
      </w:r>
    </w:p>
    <w:p>
      <w:pPr>
        <w:pStyle w:val="Heading1"/>
        <w:pBdr>
          <w:left w:val="single" w:color="C74634" w:sz="24" w:space="8"/>
        </w:pBdr>
        <w:shd w:fill="1A3C6E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Camada de Dados — Oracle Autonomous Database</w:t>
      </w:r>
    </w:p>
    <w:p>
      <w:pPr>
        <w:spacing w:after="80"/>
      </w:pPr>
      <w:r>
        <w:t xml:space="preserve"/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Oracle Autonomous Database (modalidade ATP — Autonomous Transaction Processing) e o repositorio central do DataCross. Ele combina dados relacionais (cadastros, validacoes) com dados nao estruturados (textos clinicos, resultados JSON da IA) em um unico engine, eliminando a necessidade de banco de documentos separado.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7.1 Tabelas Principais</w:t>
      </w:r>
    </w:p>
    <w:p>
      <w:pPr>
        <w:spacing w:after="4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prontuarios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Prontuario + texto clinico (CLOB) + resultado IA (JSON nativo)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validacoes_medicas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Decisoes dos medicos com CRM, justificativa e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ref_cid_benchmarks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Referencia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Tempo medio de permanencia e taxa de reinternacao por CID/UF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ref_cid10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Referencia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Tabela completa CID-10 com gravidade e elegibilidade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ref_termos_clinicos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Referencia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Glossario de termos com pesos de impacto no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ref_criterios_alta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Referencia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Criterios PCDT/MS por CID (obrigatorio/contraindicacao)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ref_estabelecimentos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Referencia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CNES: leitos, UTI, ambulatorio por municipio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7.2 Estrategia JSON Nativo</w:t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coluna ia_resultado na tabela prontuarios armazena o JSON completo retornado pelo motor de scoring como tipo nativo JSON do Oracle Database 21c+. Isso permite consultas SQL diretamente sobre o conteudo JSON sem deserializacao na aplicacao:</w:t>
      </w:r>
    </w:p>
    <w:p>
      <w:pPr>
        <w:spacing w:after="40"/>
      </w:pPr>
      <w:r>
        <w:t xml:space="preserve"/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SELECT JSON_VALUE(ia_resultado, '$.ia_status_inferido') AS status,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   JSON_VALUE(ia_resultado, '$.score_final') AS score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FROM prontuarios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WHERE hospital_cnes = '2077485'</w:t>
      </w:r>
    </w:p>
    <w:p>
      <w:pPr>
        <w:pBdr>
          <w:left w:val="single" w:color="C74634" w:sz="12" w:space="6"/>
        </w:pBdr>
        <w:shd w:fill="F4F4F4" w:val="clear"/>
        <w:spacing w:after="40" w:before="40"/>
        <w:ind w:left="480" w:right="4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AND JSON_VALUE(ia_resultado, '$.score_final') &gt; 0.75;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7.3 View Materializada para o Painel CROSS</w:t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Uma view materializada (mv_painel_cross) e atualizada a cada 15 minutos via OCI Scheduler, garantindo performance no painel do regulador mesmo com alto volume de registros. A view agrega status de IA, dias de internacao e dados do hospital em uma unica consulta pre-processada.</w:t>
      </w:r>
    </w:p>
    <w:p>
      <w:pPr>
        <w:spacing w:after="160"/>
      </w:pPr>
      <w:r>
        <w:t xml:space="preserve"/>
      </w:r>
    </w:p>
    <w:p>
      <w:pPr>
        <w:pStyle w:val="Heading1"/>
        <w:pBdr>
          <w:left w:val="single" w:color="C74634" w:sz="24" w:space="8"/>
        </w:pBdr>
        <w:shd w:fill="1A3C6E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Camada de Interface — Oracle APEX</w:t>
      </w:r>
    </w:p>
    <w:p>
      <w:pPr>
        <w:spacing w:after="80"/>
      </w:pPr>
      <w:r>
        <w:t xml:space="preserve"/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Oracle APEX e a plataforma low-code da Oracle integrada nativamente ao Autonomous Database. Por rodar dentro do banco, elimina latencia de rede entre aplicacao e dados. Dois portais distintos atendem os dois perfis de usuario do DataCross.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8.1 Portal do Medico (Hospital)</w:t>
      </w:r>
    </w:p>
    <w:p>
      <w:pPr>
        <w:spacing w:after="4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 APEX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 de prontuarios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Filtro por status IA, leito e CID. Ordenado por score decrescente.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Detalhe do prontuario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Texto clinico completo + entidades destacadas + fatores de decisao da 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Formulario de validacao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Confirmar alta / indicar transferencia / manter internado + justificativa.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KPIs do hospital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Taxa de acuracia da IA, tempo medio de internacao, leitos liberados.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563A8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8.2 Painel do Regulador CROSS</w:t>
      </w:r>
    </w:p>
    <w:p>
      <w:pPr>
        <w:spacing w:after="4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 APEX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macro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Visao agregada de todos hospitais integrados. Mapa de ocupacao por regiao.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Fila de regulacao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 priorizada de pacientes para transferencia (score + dias internado).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Mapa de leitos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Disponibilidade em tempo real por estabelecimento via ref_estabelecimentos.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Acao SIRESP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Botao acionar CROSS que grava regulacao e dispara notificacao via OCI Notifications.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left w:val="single" w:color="C74634" w:sz="24" w:space="8"/>
        </w:pBdr>
        <w:shd w:fill="1A3C6E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Seguranca e Conformidade — LGPD</w:t>
      </w:r>
    </w:p>
    <w:p>
      <w:pPr>
        <w:spacing w:after="80"/>
      </w:pPr>
      <w:r>
        <w:t xml:space="preserve"/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arquitetura implementa controles de privacidade em cada camada do pipeline, em conformidade com a Lei Geral de Protecao de Dados (Lei no 13.709/2018).</w:t>
      </w:r>
    </w:p>
    <w:p>
      <w:pPr>
        <w:spacing w:after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Implementacao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Artigo LGPD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Anonimizacao na origem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CPF substituido por hash SHA-256 antes de qualquer transmissao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Art. 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Isolamento por hospital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Cada hospital opera em OCI Compartment dedicado com IAM policies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Art. 46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Criptografia em repouso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TDE (Transparent Data Encryption) nativo no Autonomous Database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Art. 46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Criptografia em transito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TLS 1.3 em todas as chamadas do pipeline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Art. 46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Auditoria de acesso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OCI Data Safe monitora e registra todos os acessos ao banco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Art. 37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Controle de acesso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APEX com OCI Identity Domains + roles MEDICO e REGULADOR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Art. 46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Minimizacao de dados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Apenas campos necessarios para a decisao sao processados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Art. 6, V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left w:val="single" w:color="C74634" w:sz="24" w:space="8"/>
        </w:pBdr>
        <w:shd w:fill="1A3C6E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Justificativa Tecnica por Componente</w:t>
      </w:r>
    </w:p>
    <w:p>
      <w:pPr>
        <w:spacing w:after="80"/>
      </w:pPr>
      <w:r>
        <w:t xml:space="preserve"/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tecnologia Oracle foi selecionada com criterios de escalabilidade, baixo esforco de manutencao e adequacao ao contexto do SUS.</w:t>
      </w:r>
    </w:p>
    <w:p>
      <w:pPr>
        <w:spacing w:after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 tecnica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OCI API Gateway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Elimina exposicao direta das Functions a internet. Gerencia throttling e versionamento de endpoint sem downtime. Isola o simulador da logica de negocio.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OCI Functions (serverless)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Zero gerenciamento de servidor. Escala de 0 a N instancias automaticamente para carga irregular hospitalar. Custo por execucao, nao por idle time.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OCI Language (NLP)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Servico gerenciado com modelos pre-treinados para portugues. Sem infraestrutura de ML propria. Modelo custom treinavel com poucos exemplos via AutoML nativo.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OCI Scheduler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Execucao agendada das cargas de dados externos (TabNet mensal, CNES diario) sem servidor dedicado. Integrado ao IAM para execucao segura.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Autonomous Database (ATP)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Self-driving: auto-scaling, auto-backup, auto-patching. Coluna JSON nativa elimina banco de documentos separado. ACID garantido com suporte a SQL e NoSQL.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Oracle APEX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Low-code nativo do Autonomous Database — sem latencia de rede entre app e banco. Dashboards complexos sem frontend customizado. Licenca incluida no ATP.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OCI Data Safe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Auditoria automatica de acesso, deteccao de dados sensiveis e relatorios de conformidade LGPD. Custo incluido no OCI sem servico adicional.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left w:val="single" w:color="C74634" w:sz="24" w:space="8"/>
        </w:pBdr>
        <w:shd w:fill="1A3C6E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Fluxo de Dados Completo</w:t>
      </w:r>
    </w:p>
    <w:p>
      <w:pPr>
        <w:spacing w:after="80"/>
      </w:pPr>
      <w:r>
        <w:t xml:space="preserve"/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Descricao sequencial do caminho do dado desde a origem ate a visualizacao final, indicando onde ocorre cada transformacao.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Simulador Python gera JSON com prontuario sintetico e envia via POST ao endpoint do OCI API Gateway.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OCI API Gateway autentica a requisicao via OCI IAM (politicas de acesso por hospital/compartment) e encaminha para a OCI Function.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OCI Function executa ETL leve: extrai texto_clinico, sanitiza e chama os tres endpoints do OCI Language em paralelo.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OCI Language retorna entidades, sentimento e classificacao. A Function agrega os resultados ao payload original.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Motor de scoring consulta as quatro tabelas de referencia (ref_cid_benchmarks, ref_termos_clinicos, ref_criterios_alta, ref_estabelecimentos) e calcula o score final com lista de fatores.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Payload completo (prontuario + entidades NLP + score + fatores) e gravado via ORDS REST no Autonomous Database.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Oracle APEX le os dados do banco e exibe ao medico o prontuario com score e fatores auditaveis para validacao.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Medico confirma ou rejeita a recomendacao. A decisao e registrada em validacoes_medicas e o status atualizado.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Regulador CROSS visualiza a fila priorizada no painel APEX e aciona o SIRESP para regulacao de transferencia.</w:t>
      </w:r>
    </w:p>
    <w:p>
      <w:pPr>
        <w:spacing w:after="160"/>
      </w:pPr>
      <w:r>
        <w:t xml:space="preserve"/>
      </w:r>
    </w:p>
    <w:p>
      <w:pPr>
        <w:pStyle w:val="Heading1"/>
        <w:pBdr>
          <w:left w:val="single" w:color="C74634" w:sz="24" w:space="8"/>
        </w:pBdr>
        <w:shd w:fill="1A3C6E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Guia para Montagem do Diagrama (Lucidchart / Canva)</w:t>
      </w:r>
    </w:p>
    <w:p>
      <w:pPr>
        <w:spacing w:after="80"/>
      </w:pPr>
      <w:r>
        <w:t xml:space="preserve"/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a estrutura abaixo com os icones oficiais Oracle para montar o diagrama visual. Organize em swimlanes horizontais, uma por camada.</w:t>
      </w:r>
    </w:p>
    <w:p>
      <w:pPr>
        <w:spacing w:after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Swimlane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Icones Oracle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 Oracle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— Entrada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Computer/Script (simulador Python)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#5F5E5A (cinza)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— Ingestao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OCI API Gateway + OCI IAM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#312D8B (azul OCI)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— NLP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OCI Functions + OCI Language AI Services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#00758F (verde) + #C74634 (vermelho)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— Conhecimento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Oracle Database (4x tabelas ref_*)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#312D8B (azul OCI)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— Decisao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OCI Functions (scoring engine)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#00758F (verde OCI)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— Interface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Oracle APEX (2 instancias)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#C74634 (vermelho Oracle)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4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Fontes externas (TabNet, CNES, PCDT/MS) devem aparecer como elementos externos ao contorno OCI, com setas entrando na camada de Conhecimento via OCI Functions agendadas.</w:t>
      </w:r>
    </w:p>
    <w:p>
      <w:pPr>
        <w:spacing w:after="160"/>
      </w:pPr>
      <w:r>
        <w:t xml:space="preserve"/>
      </w:r>
    </w:p>
    <w:p>
      <w:pPr>
        <w:pStyle w:val="Heading1"/>
        <w:pBdr>
          <w:left w:val="single" w:color="C74634" w:sz="24" w:space="8"/>
        </w:pBdr>
        <w:shd w:fill="1A3C6E" w:val="clear"/>
        <w:spacing w:after="200" w:before="48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Entregaveis da Sprint 2</w:t>
      </w:r>
    </w:p>
    <w:p>
      <w:pPr>
        <w:spacing w:after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Secao de referencia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Diagrama de arquitetura (Lucidchart/Canva)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Planejado — guia na Sec. 12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Secao 12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Payload JSON do simulador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Definido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Secao 3.2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Fluxo de chamada OCI 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Detalhado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Secao 4.1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Fontes de conhecimento externo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Definidas (4 fontes)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Secao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Logica do motor de scoring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Detalhada com pesos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Secao 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Estrutura de tabelas 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Definida (7 tabelas)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Secao 7.1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Perfis de usuario APEX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Definidos (medico + regulador)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Secao 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Controles LGPD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Cobertos (7 controles)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Secao 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Justificativa tecnica por componente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Completa (7 componentes)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Secao 10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C74634" w:sz="2"/>
        </w:pBdr>
        <w:shd w:fill="C74634" w:val="clear"/>
      </w:pPr>
      <w:r>
        <w:rPr>
          <w:sz w:val="4"/>
          <w:szCs w:val="4"/>
        </w:rPr>
        <w:t xml:space="preserve"> </w:t>
      </w:r>
    </w:p>
    <w:p>
      <w:pPr>
        <w:spacing w:before="200"/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DataCross | FIAP — Oracle Next Challenge | Sprint 2 | Arquitetura Tecnica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4"/>
      </w:pBdr>
    </w:pPr>
    <w:r>
      <w:rPr>
        <w:rFonts w:ascii="Arial" w:cs="Arial" w:eastAsia="Arial" w:hAnsi="Arial"/>
        <w:color w:val="5F5E5A"/>
        <w:sz w:val="16"/>
        <w:szCs w:val="16"/>
      </w:rPr>
      <w:t xml:space="preserve">Confidencial — Uso interno do projeto</w:t>
    </w:r>
    <w:r>
      <w:rPr>
        <w:sz w:val="16"/>
        <w:szCs w:val="16"/>
      </w:rPr>
      <w:ptab w:alignment="right" w:relativeTo="margin" w:leader="none"/>
    </w:r>
    <w:r>
      <w:rPr>
        <w:rFonts w:ascii="Arial" w:cs="Arial" w:eastAsia="Arial" w:hAnsi="Arial"/>
        <w:color w:val="5F5E5A"/>
        <w:sz w:val="16"/>
        <w:szCs w:val="16"/>
      </w:rPr>
      <w:t xml:space="preserve">Pagina </w:t>
    </w:r>
    <w:r>
      <w:rPr>
        <w:rFonts w:ascii="Arial" w:cs="Arial" w:eastAsia="Arial" w:hAnsi="Arial"/>
        <w:color w:val="5F5E5A"/>
        <w:sz w:val="16"/>
        <w:szCs w:val="16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4" w:space="4"/>
      </w:pBdr>
    </w:pPr>
    <w:r>
      <w:rPr>
        <w:rFonts w:ascii="Arial" w:cs="Arial" w:eastAsia="Arial" w:hAnsi="Arial"/>
        <w:color w:val="5F5E5A"/>
        <w:sz w:val="18"/>
        <w:szCs w:val="18"/>
      </w:rPr>
      <w:t xml:space="preserve">DataCross — Arquitetura Tecnica Sprint 2</w:t>
    </w:r>
    <w:r>
      <w:rPr>
        <w:sz w:val="18"/>
        <w:szCs w:val="18"/>
      </w:rPr>
      <w:ptab w:alignment="right" w:relativeTo="margin" w:leader="none"/>
    </w:r>
    <w:r>
      <w:rPr>
        <w:rFonts w:ascii="Arial" w:cs="Arial" w:eastAsia="Arial" w:hAnsi="Arial"/>
        <w:color w:val="5F5E5A"/>
        <w:sz w:val="18"/>
        <w:szCs w:val="18"/>
      </w:rPr>
      <w:t xml:space="preserve">FIAP | Oracle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40"/>
      <w:outlineLvl w:val="1"/>
    </w:pPr>
    <w:rPr>
      <w:rFonts w:ascii="Arial" w:cs="Arial" w:eastAsia="Arial" w:hAnsi="Arial"/>
      <w:b/>
      <w:bCs/>
      <w:color w:val="1A3C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563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2026-05-12T21:36:19.825Z</dcterms:created>
  <dcterms:modified xsi:type="dcterms:W3CDTF">2026-05-12T21:36:19.825Z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