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1"/>
        <w:gridCol w:w="1680"/>
        <w:gridCol w:w="1806"/>
        <w:gridCol w:w="1781"/>
      </w:tblGrid>
      <w:tr w:rsidR="00793711" w:rsidTr="00793711">
        <w:tc>
          <w:tcPr>
            <w:tcW w:w="1131" w:type="dxa"/>
          </w:tcPr>
          <w:p w:rsidR="00793711" w:rsidRDefault="00793711">
            <w:r>
              <w:t>Número</w:t>
            </w:r>
          </w:p>
        </w:tc>
        <w:tc>
          <w:tcPr>
            <w:tcW w:w="1607" w:type="dxa"/>
          </w:tcPr>
          <w:p w:rsidR="00793711" w:rsidRDefault="00793711">
            <w:r>
              <w:t>Nombre</w:t>
            </w:r>
          </w:p>
        </w:tc>
        <w:tc>
          <w:tcPr>
            <w:tcW w:w="1806" w:type="dxa"/>
          </w:tcPr>
          <w:p w:rsidR="00793711" w:rsidRDefault="00793711">
            <w:r>
              <w:t>Descripción</w:t>
            </w:r>
          </w:p>
        </w:tc>
        <w:tc>
          <w:tcPr>
            <w:tcW w:w="1687" w:type="dxa"/>
          </w:tcPr>
          <w:p w:rsidR="00793711" w:rsidRDefault="00793711">
            <w:r>
              <w:t>Categoría</w:t>
            </w:r>
          </w:p>
        </w:tc>
      </w:tr>
      <w:tr w:rsidR="00793711" w:rsidTr="00793711">
        <w:tc>
          <w:tcPr>
            <w:tcW w:w="1131" w:type="dxa"/>
          </w:tcPr>
          <w:p w:rsidR="00793711" w:rsidRDefault="00793711">
            <w:r>
              <w:t>1</w:t>
            </w:r>
          </w:p>
        </w:tc>
        <w:tc>
          <w:tcPr>
            <w:tcW w:w="1607" w:type="dxa"/>
          </w:tcPr>
          <w:p w:rsidR="00793711" w:rsidRDefault="00231909">
            <w:r>
              <w:t>Usabilidad de la Oblea</w:t>
            </w:r>
            <w:r>
              <w:br/>
              <w:t>Consideraciones generales que debe respetar la Oblea.</w:t>
            </w:r>
          </w:p>
        </w:tc>
        <w:tc>
          <w:tcPr>
            <w:tcW w:w="1806" w:type="dxa"/>
          </w:tcPr>
          <w:p w:rsidR="00793711" w:rsidRDefault="00231909">
            <w:r>
              <w:rPr>
                <w:sz w:val="20"/>
                <w:szCs w:val="20"/>
              </w:rPr>
              <w:t>La oblea debe colocarse en un lugar visible del parabrisas para facilitar la identificación por parte de los inspectores de tránsito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87" w:type="dxa"/>
          </w:tcPr>
          <w:p w:rsidR="00793711" w:rsidRDefault="00231909">
            <w:r>
              <w:t>Usabilidad</w:t>
            </w:r>
            <w:r>
              <w:br/>
              <w:t>Interfaz de Usuario</w:t>
            </w:r>
          </w:p>
        </w:tc>
      </w:tr>
      <w:tr w:rsidR="00793711" w:rsidTr="00793711">
        <w:tc>
          <w:tcPr>
            <w:tcW w:w="1131" w:type="dxa"/>
          </w:tcPr>
          <w:p w:rsidR="00793711" w:rsidRDefault="00793711">
            <w:r>
              <w:t>2</w:t>
            </w:r>
          </w:p>
        </w:tc>
        <w:tc>
          <w:tcPr>
            <w:tcW w:w="1607" w:type="dxa"/>
          </w:tcPr>
          <w:p w:rsidR="00793711" w:rsidRDefault="00231909">
            <w:r>
              <w:t>Legislaciones que el sistema debe considerar</w:t>
            </w:r>
          </w:p>
        </w:tc>
        <w:tc>
          <w:tcPr>
            <w:tcW w:w="1806" w:type="dxa"/>
          </w:tcPr>
          <w:p w:rsidR="00793711" w:rsidRDefault="00231909" w:rsidP="00231909">
            <w:r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spetando el medio ambiente en lo referente al cumplimiento de las normas relativas a emisión de contaminantes y ruidos.</w:t>
            </w:r>
          </w:p>
        </w:tc>
        <w:tc>
          <w:tcPr>
            <w:tcW w:w="1687" w:type="dxa"/>
          </w:tcPr>
          <w:p w:rsidR="00793711" w:rsidRDefault="00231909">
            <w:r>
              <w:t>Restricciones de negocio Legales</w:t>
            </w:r>
          </w:p>
        </w:tc>
      </w:tr>
      <w:tr w:rsidR="00793711" w:rsidTr="00793711">
        <w:tc>
          <w:tcPr>
            <w:tcW w:w="1131" w:type="dxa"/>
          </w:tcPr>
          <w:p w:rsidR="00793711" w:rsidRDefault="00793711">
            <w:r>
              <w:t>3</w:t>
            </w:r>
          </w:p>
        </w:tc>
        <w:tc>
          <w:tcPr>
            <w:tcW w:w="1607" w:type="dxa"/>
          </w:tcPr>
          <w:p w:rsidR="00793711" w:rsidRDefault="001121BF">
            <w:r>
              <w:t>Necesidad de que el software se comunique con otro software.</w:t>
            </w:r>
          </w:p>
        </w:tc>
        <w:tc>
          <w:tcPr>
            <w:tcW w:w="1806" w:type="dxa"/>
          </w:tcPr>
          <w:p w:rsidR="00793711" w:rsidRDefault="00231909" w:rsidP="00231909">
            <w:r>
              <w:rPr>
                <w:sz w:val="20"/>
                <w:szCs w:val="20"/>
              </w:rPr>
              <w:t>En el ingreso, nuestro personal solicita datos del titular y del vehículo (documentación), los cuales se consultan en la Dirección Nacional de Registro del Automotor.</w:t>
            </w:r>
          </w:p>
        </w:tc>
        <w:tc>
          <w:tcPr>
            <w:tcW w:w="1687" w:type="dxa"/>
          </w:tcPr>
          <w:p w:rsidR="00793711" w:rsidRDefault="001121BF">
            <w:r>
              <w:t>Restricciones Técnicas de Interoperatividad</w:t>
            </w:r>
          </w:p>
        </w:tc>
      </w:tr>
      <w:tr w:rsidR="00793711" w:rsidTr="00793711">
        <w:tc>
          <w:tcPr>
            <w:tcW w:w="1131" w:type="dxa"/>
          </w:tcPr>
          <w:p w:rsidR="00793711" w:rsidRDefault="00793711">
            <w:r>
              <w:t>4</w:t>
            </w:r>
          </w:p>
        </w:tc>
        <w:tc>
          <w:tcPr>
            <w:tcW w:w="1607" w:type="dxa"/>
          </w:tcPr>
          <w:p w:rsidR="00793711" w:rsidRDefault="00793711"/>
        </w:tc>
        <w:tc>
          <w:tcPr>
            <w:tcW w:w="1806" w:type="dxa"/>
          </w:tcPr>
          <w:p w:rsidR="00793711" w:rsidRDefault="001121BF"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efectos leves, se emite un informe con resultado condicional y fecha vencimiento de 60 días a partir de la fecha de la inspección</w:t>
            </w:r>
            <w:r>
              <w:rPr>
                <w:sz w:val="20"/>
                <w:szCs w:val="20"/>
              </w:rPr>
              <w:br/>
              <w:t>D</w:t>
            </w:r>
            <w:r>
              <w:rPr>
                <w:sz w:val="20"/>
                <w:szCs w:val="20"/>
              </w:rPr>
              <w:t>efectos graves que resulten en un rechazo de la inspección, se establece un plazo de un día para resolver la situación.</w:t>
            </w:r>
          </w:p>
        </w:tc>
        <w:tc>
          <w:tcPr>
            <w:tcW w:w="1687" w:type="dxa"/>
          </w:tcPr>
          <w:p w:rsidR="00793711" w:rsidRDefault="00793711"/>
        </w:tc>
      </w:tr>
      <w:tr w:rsidR="00793711" w:rsidTr="00793711">
        <w:tc>
          <w:tcPr>
            <w:tcW w:w="1131" w:type="dxa"/>
          </w:tcPr>
          <w:p w:rsidR="00793711" w:rsidRDefault="00793711">
            <w:r>
              <w:t>5</w:t>
            </w:r>
          </w:p>
        </w:tc>
        <w:tc>
          <w:tcPr>
            <w:tcW w:w="1607" w:type="dxa"/>
          </w:tcPr>
          <w:p w:rsidR="00793711" w:rsidRDefault="001121BF">
            <w:r>
              <w:t>Requisitos sobre el día de entrega de reporte</w:t>
            </w:r>
          </w:p>
        </w:tc>
        <w:tc>
          <w:tcPr>
            <w:tcW w:w="1806" w:type="dxa"/>
          </w:tcPr>
          <w:p w:rsidR="00793711" w:rsidRDefault="001121BF" w:rsidP="001121BF">
            <w:r>
              <w:rPr>
                <w:sz w:val="20"/>
                <w:szCs w:val="20"/>
              </w:rPr>
              <w:t>Una vez al mes el gerente envía un reporte al municipio con los vehículos que realizaron la VTV</w:t>
            </w:r>
          </w:p>
        </w:tc>
        <w:tc>
          <w:tcPr>
            <w:tcW w:w="1687" w:type="dxa"/>
          </w:tcPr>
          <w:p w:rsidR="00793711" w:rsidRDefault="001121BF">
            <w:r>
              <w:t>Restricciones de negocio de entrega</w:t>
            </w:r>
          </w:p>
        </w:tc>
      </w:tr>
      <w:tr w:rsidR="001121BF" w:rsidTr="00793711">
        <w:tc>
          <w:tcPr>
            <w:tcW w:w="1131" w:type="dxa"/>
          </w:tcPr>
          <w:p w:rsidR="001121BF" w:rsidRDefault="001121BF">
            <w:r>
              <w:t>6</w:t>
            </w:r>
          </w:p>
        </w:tc>
        <w:tc>
          <w:tcPr>
            <w:tcW w:w="1607" w:type="dxa"/>
          </w:tcPr>
          <w:p w:rsidR="001121BF" w:rsidRDefault="00EB57C8" w:rsidP="00EB57C8">
            <w:r>
              <w:t xml:space="preserve">Requisitos </w:t>
            </w:r>
            <w:r>
              <w:t>respecto a la entrega del producto.</w:t>
            </w:r>
          </w:p>
        </w:tc>
        <w:tc>
          <w:tcPr>
            <w:tcW w:w="1806" w:type="dxa"/>
          </w:tcPr>
          <w:p w:rsidR="001121BF" w:rsidRDefault="001121BF" w:rsidP="001121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vehículo que regresa a re-verificar debe respetar la fecha de vencimiento </w:t>
            </w:r>
            <w:r>
              <w:rPr>
                <w:sz w:val="20"/>
                <w:szCs w:val="20"/>
              </w:rPr>
              <w:lastRenderedPageBreak/>
              <w:t>establecida en el informe que le fue entregado</w:t>
            </w:r>
          </w:p>
        </w:tc>
        <w:tc>
          <w:tcPr>
            <w:tcW w:w="1687" w:type="dxa"/>
          </w:tcPr>
          <w:p w:rsidR="001121BF" w:rsidRDefault="00EB57C8">
            <w:r>
              <w:lastRenderedPageBreak/>
              <w:t>Restricciones de negocio de entrega</w:t>
            </w:r>
            <w:r>
              <w:t>.</w:t>
            </w:r>
          </w:p>
        </w:tc>
      </w:tr>
      <w:tr w:rsidR="00EB57C8" w:rsidTr="00793711">
        <w:tc>
          <w:tcPr>
            <w:tcW w:w="1131" w:type="dxa"/>
          </w:tcPr>
          <w:p w:rsidR="00EB57C8" w:rsidRDefault="00EB57C8">
            <w:r>
              <w:lastRenderedPageBreak/>
              <w:t>7</w:t>
            </w:r>
          </w:p>
        </w:tc>
        <w:tc>
          <w:tcPr>
            <w:tcW w:w="1607" w:type="dxa"/>
          </w:tcPr>
          <w:p w:rsidR="00EB57C8" w:rsidRDefault="00EB57C8" w:rsidP="00EB57C8"/>
        </w:tc>
        <w:tc>
          <w:tcPr>
            <w:tcW w:w="1806" w:type="dxa"/>
          </w:tcPr>
          <w:p w:rsidR="00EB57C8" w:rsidRDefault="00EB57C8" w:rsidP="00EB5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obtener más de tres resultados desaprobados</w:t>
            </w:r>
            <w:r w:rsidR="00974993">
              <w:rPr>
                <w:sz w:val="20"/>
                <w:szCs w:val="20"/>
              </w:rPr>
              <w:t>, el cliente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deberá abonar nuevamente como su primera vez.</w:t>
            </w:r>
          </w:p>
        </w:tc>
        <w:tc>
          <w:tcPr>
            <w:tcW w:w="1687" w:type="dxa"/>
          </w:tcPr>
          <w:p w:rsidR="00EB57C8" w:rsidRDefault="00EB57C8">
            <w:r>
              <w:t>Preguntar</w:t>
            </w:r>
          </w:p>
        </w:tc>
      </w:tr>
      <w:tr w:rsidR="00EB57C8" w:rsidTr="00793711">
        <w:tc>
          <w:tcPr>
            <w:tcW w:w="1131" w:type="dxa"/>
          </w:tcPr>
          <w:p w:rsidR="00EB57C8" w:rsidRDefault="00EB57C8">
            <w:r>
              <w:t>8</w:t>
            </w:r>
          </w:p>
        </w:tc>
        <w:tc>
          <w:tcPr>
            <w:tcW w:w="1607" w:type="dxa"/>
          </w:tcPr>
          <w:p w:rsidR="00EB57C8" w:rsidRDefault="00193D7E" w:rsidP="00EB57C8">
            <w:r>
              <w:t>Unidad de tiempo de los informes.</w:t>
            </w:r>
          </w:p>
        </w:tc>
        <w:tc>
          <w:tcPr>
            <w:tcW w:w="1806" w:type="dxa"/>
          </w:tcPr>
          <w:p w:rsidR="00EB57C8" w:rsidRDefault="00193D7E" w:rsidP="00EB5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generación de informes no debe demorar más de 10 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  <w:r w:rsidR="00EB57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7" w:type="dxa"/>
          </w:tcPr>
          <w:p w:rsidR="00EB57C8" w:rsidRDefault="00EB57C8">
            <w:r>
              <w:t>Performance: Tiempo de Respuesta, Rendimiento</w:t>
            </w:r>
          </w:p>
        </w:tc>
      </w:tr>
      <w:tr w:rsidR="00193D7E" w:rsidTr="00793711">
        <w:tc>
          <w:tcPr>
            <w:tcW w:w="1131" w:type="dxa"/>
          </w:tcPr>
          <w:p w:rsidR="00193D7E" w:rsidRDefault="00193D7E">
            <w:r>
              <w:t>9</w:t>
            </w:r>
          </w:p>
        </w:tc>
        <w:tc>
          <w:tcPr>
            <w:tcW w:w="1607" w:type="dxa"/>
          </w:tcPr>
          <w:p w:rsidR="00193D7E" w:rsidRDefault="00974993" w:rsidP="00EB57C8">
            <w:r>
              <w:t>Cantidad de concurrencias por momento de tiempo y unidad de tiempo por reportes.</w:t>
            </w:r>
          </w:p>
        </w:tc>
        <w:tc>
          <w:tcPr>
            <w:tcW w:w="1806" w:type="dxa"/>
          </w:tcPr>
          <w:p w:rsidR="00193D7E" w:rsidRDefault="00193D7E" w:rsidP="00974993">
            <w:pPr>
              <w:rPr>
                <w:sz w:val="20"/>
                <w:szCs w:val="20"/>
              </w:rPr>
            </w:pPr>
            <w:r w:rsidRPr="00193D7E">
              <w:rPr>
                <w:sz w:val="20"/>
                <w:szCs w:val="20"/>
              </w:rPr>
              <w:t xml:space="preserve">El sistema deberá ser capaz de manejar, al menos, 100 solicitudes concurrentes de generación y envío de reportes mensuales al municipio sin degradar el rendimiento. </w:t>
            </w:r>
            <w:r w:rsidR="00974993">
              <w:rPr>
                <w:sz w:val="20"/>
                <w:szCs w:val="20"/>
              </w:rPr>
              <w:t>A</w:t>
            </w:r>
            <w:r w:rsidRPr="00193D7E">
              <w:rPr>
                <w:sz w:val="20"/>
                <w:szCs w:val="20"/>
              </w:rPr>
              <w:t>segurando que la generación del reporte se complete en un tiempo máximo de 5 segundos por solicitud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87" w:type="dxa"/>
          </w:tcPr>
          <w:p w:rsidR="00193D7E" w:rsidRDefault="00193D7E">
            <w:r>
              <w:t>Performance:</w:t>
            </w:r>
            <w:r>
              <w:br/>
              <w:t>Concurrencia y Tiempo de Respuesta</w:t>
            </w:r>
          </w:p>
        </w:tc>
      </w:tr>
      <w:tr w:rsidR="00974993" w:rsidTr="00793711">
        <w:tc>
          <w:tcPr>
            <w:tcW w:w="1131" w:type="dxa"/>
          </w:tcPr>
          <w:p w:rsidR="00974993" w:rsidRDefault="00974993"/>
        </w:tc>
        <w:tc>
          <w:tcPr>
            <w:tcW w:w="1607" w:type="dxa"/>
          </w:tcPr>
          <w:p w:rsidR="00974993" w:rsidRDefault="00974993" w:rsidP="00EB57C8"/>
        </w:tc>
        <w:tc>
          <w:tcPr>
            <w:tcW w:w="1806" w:type="dxa"/>
          </w:tcPr>
          <w:p w:rsidR="00974993" w:rsidRPr="00193D7E" w:rsidRDefault="00974993" w:rsidP="00974993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:rsidR="00974993" w:rsidRDefault="00974993"/>
        </w:tc>
      </w:tr>
    </w:tbl>
    <w:p w:rsidR="009F2BF0" w:rsidRDefault="00974993"/>
    <w:sectPr w:rsidR="009F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11"/>
    <w:rsid w:val="001121BF"/>
    <w:rsid w:val="00193D7E"/>
    <w:rsid w:val="00231909"/>
    <w:rsid w:val="004C5A88"/>
    <w:rsid w:val="00793711"/>
    <w:rsid w:val="00974993"/>
    <w:rsid w:val="00B71F6E"/>
    <w:rsid w:val="00E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133C-1605-4FE5-B2F1-D92F60E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19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2024-10-11T12:06:00Z</dcterms:created>
  <dcterms:modified xsi:type="dcterms:W3CDTF">2024-10-11T13:39:00Z</dcterms:modified>
</cp:coreProperties>
</file>