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708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  <w:rtl w:val="0"/>
        </w:rPr>
        <w:t xml:space="preserve">Plantilla para Descripción de Use Cases  (Trazo Intermedio)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9"/>
        <w:gridCol w:w="2054"/>
        <w:gridCol w:w="594"/>
        <w:gridCol w:w="3079"/>
        <w:gridCol w:w="65"/>
        <w:tblGridChange w:id="0">
          <w:tblGrid>
            <w:gridCol w:w="4389"/>
            <w:gridCol w:w="2054"/>
            <w:gridCol w:w="594"/>
            <w:gridCol w:w="3079"/>
            <w:gridCol w:w="65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Paquete: 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gridSpan w:val="3"/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Consultar Empleado</w:t>
            </w:r>
          </w:p>
        </w:tc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2</w:t>
            </w:r>
          </w:p>
        </w:tc>
      </w:tr>
      <w:tr>
        <w:trPr>
          <w:cantSplit w:val="1"/>
          <w:trHeight w:val="3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:RRHH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Actor Secundario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n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Tipo de Use Case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            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☒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Concreto                                 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  Abstracto</w:t>
            </w:r>
          </w:p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: Tiene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 consultar a los nuevos emp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leados registrados en la planta de Vtv.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  Básico: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CU empieza cuando el RRHH selecciona la opción “consultar empleado”.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solicita que se ingrese el ID del empleado.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RRHH ingresa el ID del empleado.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busca y encuentra el ID del empleado.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los datos del empleado.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muestra la opción de descargar la planilla de datos del empleado o salir.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RRHH selecciona la opción de descargar la planilla de datos del empleado.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Fin de CU.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Flujos  Alternativos:</w:t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A1 (Al paso 2): No se ingresa el ID del empleado, se cancela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A2 (Al paso 4): El sistema no encuentra el empleado, se llama al CU “Registrar Empleado”.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RNF 1: De interfaz de Usuario: La planilla se descarga en formato pdf.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caso de uso puede ser cancelado en cualquier momento.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ahoma" w:cs="Tahoma" w:eastAsia="Tahoma" w:hAnsi="Tahom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Extensión: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egistrar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Asociaciones de Inclusión: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donde se incluye: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ahoma" w:cs="Tahoma" w:eastAsia="Tahoma" w:hAnsi="Tahom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vertAlign w:val="baseline"/>
                <w:rtl w:val="0"/>
              </w:rPr>
              <w:t xml:space="preserve">Use Case al que extiende: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 Generalización: </w:t>
            </w: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98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CA15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Creación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Última Modificación: </w:t>
            </w: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Albarracin Trinidad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Amaya Florencia, Anselmi Lara, Bergas Victoria,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Corti Elba, Petrucci Bianca.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Última Modificación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259" w:top="1418" w:left="851" w:right="851" w:header="425" w:footer="3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102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Autor: </w:t>
      <w:tab/>
      <w:tab/>
      <w:t xml:space="preserve">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Plantilla_trazo_</w:t>
    </w:r>
    <w:r w:rsidDel="00000000" w:rsidR="00000000" w:rsidRPr="00000000">
      <w:rPr>
        <w:rtl w:val="0"/>
      </w:rPr>
      <w:t xml:space="preserve">intermedio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4321175</wp:posOffset>
          </wp:positionH>
          <wp:positionV relativeFrom="topMargin">
            <wp:posOffset>-622932</wp:posOffset>
          </wp:positionV>
          <wp:extent cx="2160270" cy="45720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83" l="33918" r="38664" t="28504"/>
                  <a:stretch>
                    <a:fillRect/>
                  </a:stretch>
                </pic:blipFill>
                <pic:spPr>
                  <a:xfrm>
                    <a:off x="0" y="0"/>
                    <a:ext cx="2160270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32270" cy="62039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89390" y="3479328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Cátedra de Análisis de Sistemas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Caso de Estudio: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6732270" cy="62039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2270" cy="620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jwYDo43fm+TXVpGdv9/+ZzP5Q==">CgMxLjAaJQoBMBIgCh4IB0IaCgZUYWhvbWESEEFyaWFsIFVuaWNvZGUgTVMaJQoBMRIgCh4IB0IaCgZUYWhvbWESEEFyaWFsIFVuaWNvZGUgTVM4AHIhMWY2WkJpQUFVMm1tNmo3M3R0V0pha2ZTVVdpYkljREUx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