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ccc9kc7c0vz" w:id="0"/>
      <w:bookmarkEnd w:id="0"/>
      <w:r w:rsidDel="00000000" w:rsidR="00000000" w:rsidRPr="00000000">
        <w:rPr>
          <w:rtl w:val="0"/>
        </w:rPr>
        <w:t xml:space="preserve">13. Lista de Características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rsl0fbdvhej" w:id="1"/>
      <w:bookmarkEnd w:id="1"/>
      <w:r w:rsidDel="00000000" w:rsidR="00000000" w:rsidRPr="00000000">
        <w:rPr>
          <w:sz w:val="24"/>
          <w:szCs w:val="24"/>
          <w:rtl w:val="0"/>
        </w:rPr>
        <w:t xml:space="preserve">Prioridade(C, I, U) - Esforço(A, M, B) - Risco(A, M, B) - Baseline(1, 2, 3)</w:t>
      </w: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630"/>
        <w:gridCol w:w="5610"/>
        <w:gridCol w:w="645"/>
        <w:gridCol w:w="540"/>
        <w:gridCol w:w="555"/>
        <w:gridCol w:w="600"/>
        <w:tblGridChange w:id="0">
          <w:tblGrid>
            <w:gridCol w:w="630"/>
            <w:gridCol w:w="5610"/>
            <w:gridCol w:w="645"/>
            <w:gridCol w:w="540"/>
            <w:gridCol w:w="555"/>
            <w:gridCol w:w="60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 com cartões.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e abertura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de produtos com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venda, troco 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balanços mensais - (depreciação).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pagar.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receber.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compras - (cadastro de fornecedores,  orçamento e compras realizadas).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fluxo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itens de alta e baixa demanda.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usar.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itens em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vendas à prazo.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das finanças do negócio(contas à pagar e a receber).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Acesso remoto.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produtos vencidos ou próximos do vencimento.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