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97D89" w14:textId="1B2BF545" w:rsidR="001C04D7" w:rsidRDefault="00444C97">
      <w:pPr>
        <w:rPr>
          <w:rFonts w:ascii="Arial" w:hAnsi="Arial" w:cs="Arial"/>
        </w:rPr>
      </w:pPr>
      <w:r>
        <w:rPr>
          <w:rFonts w:ascii="Arial" w:hAnsi="Arial" w:cs="Arial"/>
        </w:rPr>
        <w:tab/>
        <w:t>Só no ano de 2024, o governo federal brasileiro arrecadou mais de dois trilhões de reais em impostos. Parte dessa receita foi utilizada para custear o Sistema Único de Saúde (SUS), incluindo a compra de medicamentos e dispositivos médicos.</w:t>
      </w:r>
    </w:p>
    <w:p w14:paraId="71AE6D2F" w14:textId="0C79BFC5" w:rsidR="00444C97" w:rsidRDefault="00444C97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Devido à dimensão continental que o Brasil possui, centralizar dados é uma tarefa complexa, uma vez que eles chegam de diversas fontes. Com </w:t>
      </w:r>
      <w:r w:rsidR="004B0DCB">
        <w:rPr>
          <w:rFonts w:ascii="Arial" w:hAnsi="Arial" w:cs="Arial"/>
        </w:rPr>
        <w:t xml:space="preserve">a finalidade </w:t>
      </w:r>
      <w:r>
        <w:rPr>
          <w:rFonts w:ascii="Arial" w:hAnsi="Arial" w:cs="Arial"/>
        </w:rPr>
        <w:t>de manter um registro dos itens adquiridos pelas instituições de saúde públicas e privadas de todo o país, o Ministério da Saúde criou o Banco de Preços em Saúde (BPS)</w:t>
      </w:r>
      <w:r w:rsidR="00C85D02">
        <w:rPr>
          <w:rFonts w:ascii="Arial" w:hAnsi="Arial" w:cs="Arial"/>
        </w:rPr>
        <w:t>, de acesso público e gratuito</w:t>
      </w:r>
      <w:r>
        <w:rPr>
          <w:rFonts w:ascii="Arial" w:hAnsi="Arial" w:cs="Arial"/>
        </w:rPr>
        <w:t>.</w:t>
      </w:r>
    </w:p>
    <w:p w14:paraId="31E88601" w14:textId="4CF059D5" w:rsidR="00444C97" w:rsidRDefault="00444C97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C85D02">
        <w:rPr>
          <w:rFonts w:ascii="Arial" w:hAnsi="Arial" w:cs="Arial"/>
        </w:rPr>
        <w:t>O BPS</w:t>
      </w:r>
      <w:r>
        <w:rPr>
          <w:rFonts w:ascii="Arial" w:hAnsi="Arial" w:cs="Arial"/>
        </w:rPr>
        <w:t xml:space="preserve"> torna mais fácil </w:t>
      </w:r>
      <w:r w:rsidR="00C85D02">
        <w:rPr>
          <w:rFonts w:ascii="Arial" w:hAnsi="Arial" w:cs="Arial"/>
        </w:rPr>
        <w:t>comparar o montante gasto anualmente de acordo com a instituição, fabricante, fornecedor, município ou estado, fazendo com que seja possível ajustar o alocamento de recursos no ano seguinte. Por isso, o BPS é referência nacional em pesquisa e cotação de preços.</w:t>
      </w:r>
    </w:p>
    <w:p w14:paraId="0E3F7031" w14:textId="75106E55" w:rsidR="00A93BE1" w:rsidRDefault="00C85D02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Contudo, o BPS oferece apenas os extensos bancos de dados em formatos como .csv, .json, entre outros. Portanto, mesmo que o acesso aos dados seja aberto ao público, o entendimento </w:t>
      </w:r>
      <w:r w:rsidR="001E68AE">
        <w:rPr>
          <w:rFonts w:ascii="Arial" w:hAnsi="Arial" w:cs="Arial"/>
        </w:rPr>
        <w:t xml:space="preserve">do que eles de fato significam fica restrito aos profissionais da área de dados, como engenheiros, cientistas e analistas. </w:t>
      </w:r>
    </w:p>
    <w:p w14:paraId="1BF8A193" w14:textId="1D6EFAA0" w:rsidR="005A4AA6" w:rsidRDefault="00A93BE1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Neste contexto, a análise de dados é utilizada para tratar e analisar os dados coletados e “devolvê-los” ao público em um </w:t>
      </w:r>
      <w:r>
        <w:rPr>
          <w:rFonts w:ascii="Arial" w:hAnsi="Arial" w:cs="Arial"/>
          <w:i/>
          <w:iCs/>
        </w:rPr>
        <w:t>dashboard</w:t>
      </w:r>
      <w:r>
        <w:rPr>
          <w:rFonts w:ascii="Arial" w:hAnsi="Arial" w:cs="Arial"/>
        </w:rPr>
        <w:t xml:space="preserve"> de fácil visualização, compacto e que segue </w:t>
      </w:r>
      <w:r w:rsidR="005A4AA6">
        <w:rPr>
          <w:rFonts w:ascii="Arial" w:hAnsi="Arial" w:cs="Arial"/>
        </w:rPr>
        <w:t xml:space="preserve">um </w:t>
      </w:r>
      <w:r w:rsidR="005A4AA6">
        <w:rPr>
          <w:rFonts w:ascii="Arial" w:hAnsi="Arial" w:cs="Arial"/>
          <w:i/>
          <w:iCs/>
        </w:rPr>
        <w:t>storytelling</w:t>
      </w:r>
      <w:r w:rsidR="005A4AA6">
        <w:rPr>
          <w:rFonts w:ascii="Arial" w:hAnsi="Arial" w:cs="Arial"/>
        </w:rPr>
        <w:t>.</w:t>
      </w:r>
    </w:p>
    <w:p w14:paraId="3477E6E4" w14:textId="77777777" w:rsidR="00222470" w:rsidRDefault="004A28FA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E303F8">
        <w:rPr>
          <w:rFonts w:ascii="Arial" w:hAnsi="Arial" w:cs="Arial"/>
        </w:rPr>
        <w:t xml:space="preserve">Este </w:t>
      </w:r>
      <w:r w:rsidR="00E303F8">
        <w:rPr>
          <w:rFonts w:ascii="Arial" w:hAnsi="Arial" w:cs="Arial"/>
          <w:i/>
          <w:iCs/>
        </w:rPr>
        <w:t>dashboard</w:t>
      </w:r>
      <w:r w:rsidR="00E303F8">
        <w:rPr>
          <w:rFonts w:ascii="Arial" w:hAnsi="Arial" w:cs="Arial"/>
        </w:rPr>
        <w:t xml:space="preserve"> com dados do BPS de 2020 a 2024,</w:t>
      </w:r>
      <w:r w:rsidR="00222470">
        <w:rPr>
          <w:rFonts w:ascii="Arial" w:hAnsi="Arial" w:cs="Arial"/>
        </w:rPr>
        <w:t xml:space="preserve"> </w:t>
      </w:r>
      <w:r w:rsidR="00E303F8">
        <w:rPr>
          <w:rFonts w:ascii="Arial" w:hAnsi="Arial" w:cs="Arial"/>
        </w:rPr>
        <w:t>levando em conta especialmente tomadores de decisão dos ministérios da fazenda e da saúde a nível federa</w:t>
      </w:r>
      <w:r w:rsidR="00222470">
        <w:rPr>
          <w:rFonts w:ascii="Arial" w:hAnsi="Arial" w:cs="Arial"/>
        </w:rPr>
        <w:t>l, permitindo que sejam verificados o total investido, quantidade total de itens comprados e o estado que mais recebeu investimentos a cada ano.</w:t>
      </w:r>
    </w:p>
    <w:p w14:paraId="1051FBDA" w14:textId="77777777" w:rsidR="00222470" w:rsidRDefault="0022247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Além disso, também é possível aferir a porcentagem de itens comprados, investimento, quantidade de itens comprados e distribuição de medicamentos genéricos </w:t>
      </w:r>
      <w:r>
        <w:rPr>
          <w:rFonts w:ascii="Arial" w:hAnsi="Arial" w:cs="Arial"/>
        </w:rPr>
        <w:t>com base na região do Brasil</w:t>
      </w:r>
      <w:r>
        <w:rPr>
          <w:rFonts w:ascii="Arial" w:hAnsi="Arial" w:cs="Arial"/>
        </w:rPr>
        <w:t>.</w:t>
      </w:r>
    </w:p>
    <w:p w14:paraId="2B636480" w14:textId="032BB805" w:rsidR="004A28FA" w:rsidRPr="005A4AA6" w:rsidRDefault="00222470">
      <w:pPr>
        <w:rPr>
          <w:rFonts w:ascii="Arial" w:hAnsi="Arial" w:cs="Arial"/>
        </w:rPr>
      </w:pPr>
      <w:r>
        <w:rPr>
          <w:rFonts w:ascii="Arial" w:hAnsi="Arial" w:cs="Arial"/>
        </w:rPr>
        <w:tab/>
        <w:t>Para uma apresentação mais dinâmica, foram utilizados diversos tipos de gráficos e tabelas, como: pizza, barras, dispersão, visão geral e tabela simples.</w:t>
      </w:r>
      <w:r w:rsidR="004B0DCB">
        <w:rPr>
          <w:rFonts w:ascii="Arial" w:hAnsi="Arial" w:cs="Arial"/>
        </w:rPr>
        <w:t xml:space="preserve"> </w:t>
      </w:r>
    </w:p>
    <w:p w14:paraId="41E8EB02" w14:textId="5862F1D6" w:rsidR="005A4AA6" w:rsidRDefault="002D5195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69AD12DD" w14:textId="77777777" w:rsidR="002D5195" w:rsidRDefault="002D5195">
      <w:pPr>
        <w:rPr>
          <w:rFonts w:ascii="Arial" w:hAnsi="Arial" w:cs="Arial"/>
        </w:rPr>
      </w:pPr>
    </w:p>
    <w:p w14:paraId="69DC20A7" w14:textId="77777777" w:rsidR="005A4AA6" w:rsidRDefault="005A4AA6">
      <w:pPr>
        <w:rPr>
          <w:rFonts w:ascii="Arial" w:hAnsi="Arial" w:cs="Arial"/>
        </w:rPr>
      </w:pPr>
    </w:p>
    <w:p w14:paraId="314AC526" w14:textId="77777777" w:rsidR="002D5195" w:rsidRDefault="002D5195">
      <w:pPr>
        <w:rPr>
          <w:rFonts w:ascii="Arial" w:hAnsi="Arial" w:cs="Arial"/>
        </w:rPr>
      </w:pPr>
    </w:p>
    <w:p w14:paraId="1461AF57" w14:textId="77777777" w:rsidR="002D5195" w:rsidRDefault="002D5195">
      <w:pPr>
        <w:rPr>
          <w:rFonts w:ascii="Arial" w:hAnsi="Arial" w:cs="Arial"/>
        </w:rPr>
      </w:pPr>
    </w:p>
    <w:p w14:paraId="7603BFCC" w14:textId="77777777" w:rsidR="002D5195" w:rsidRDefault="002D5195">
      <w:pPr>
        <w:rPr>
          <w:rFonts w:ascii="Arial" w:hAnsi="Arial" w:cs="Arial"/>
        </w:rPr>
      </w:pPr>
    </w:p>
    <w:p w14:paraId="5E2876C6" w14:textId="77777777" w:rsidR="002D5195" w:rsidRDefault="002D5195">
      <w:pPr>
        <w:rPr>
          <w:rFonts w:ascii="Arial" w:hAnsi="Arial" w:cs="Arial"/>
        </w:rPr>
      </w:pPr>
    </w:p>
    <w:p w14:paraId="20A7A975" w14:textId="77777777" w:rsidR="002D5195" w:rsidRDefault="002D5195">
      <w:pPr>
        <w:rPr>
          <w:rFonts w:ascii="Arial" w:hAnsi="Arial" w:cs="Arial"/>
        </w:rPr>
      </w:pPr>
    </w:p>
    <w:p w14:paraId="746CADF3" w14:textId="77777777" w:rsidR="002D5195" w:rsidRDefault="002D5195">
      <w:pPr>
        <w:rPr>
          <w:rFonts w:ascii="Arial" w:hAnsi="Arial" w:cs="Arial"/>
        </w:rPr>
      </w:pPr>
    </w:p>
    <w:p w14:paraId="0577A9ED" w14:textId="77777777" w:rsidR="002D5195" w:rsidRDefault="002D5195">
      <w:pPr>
        <w:rPr>
          <w:rFonts w:ascii="Arial" w:hAnsi="Arial" w:cs="Arial"/>
        </w:rPr>
      </w:pPr>
    </w:p>
    <w:p w14:paraId="5D7B25B8" w14:textId="77777777" w:rsidR="002D5195" w:rsidRDefault="002D5195">
      <w:pPr>
        <w:rPr>
          <w:rFonts w:ascii="Arial" w:hAnsi="Arial" w:cs="Arial"/>
        </w:rPr>
      </w:pPr>
    </w:p>
    <w:p w14:paraId="492D0228" w14:textId="5ABE9C33" w:rsidR="005A4AA6" w:rsidRDefault="005A4AA6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p w14:paraId="6255B1EE" w14:textId="5AAE2E0F" w:rsidR="001D6BB9" w:rsidRPr="001D6BB9" w:rsidRDefault="001D6BB9" w:rsidP="001D6BB9">
      <w:pPr>
        <w:rPr>
          <w:rFonts w:ascii="Arial" w:hAnsi="Arial" w:cs="Arial"/>
        </w:rPr>
      </w:pPr>
      <w:r w:rsidRPr="001D6BB9">
        <w:rPr>
          <w:rFonts w:ascii="Arial" w:hAnsi="Arial" w:cs="Arial"/>
          <w:b/>
          <w:bCs/>
        </w:rPr>
        <w:t>Arrecadação total das receitas federais alcançou R$ 2,652 trilhões no ano de 2024</w:t>
      </w:r>
      <w:r w:rsidRPr="001D6BB9">
        <w:rPr>
          <w:rFonts w:ascii="Arial" w:hAnsi="Arial" w:cs="Arial"/>
        </w:rPr>
        <w:t>. Disponível em: &lt;https://www.gov.br/fazenda/pt-br/assuntos/noticias/2025/janeiro/arrecadacao-total-das-de-receitas-federais-alcancou-r-2-652-trilhoes-no-ano-de-2024&gt;.</w:t>
      </w:r>
      <w:r w:rsidR="00516966">
        <w:rPr>
          <w:rFonts w:ascii="Arial" w:hAnsi="Arial" w:cs="Arial"/>
        </w:rPr>
        <w:t xml:space="preserve"> </w:t>
      </w:r>
      <w:r w:rsidR="00516966" w:rsidRPr="001D6BB9">
        <w:rPr>
          <w:rFonts w:ascii="Arial" w:hAnsi="Arial" w:cs="Arial"/>
        </w:rPr>
        <w:t>Acesso em: 20 out. 2025.</w:t>
      </w:r>
    </w:p>
    <w:p w14:paraId="435D8E3C" w14:textId="4A07DB4C" w:rsidR="002D5195" w:rsidRPr="002D5195" w:rsidRDefault="001D6BB9" w:rsidP="002D5195">
      <w:pPr>
        <w:rPr>
          <w:rFonts w:ascii="Arial" w:hAnsi="Arial" w:cs="Arial"/>
        </w:rPr>
      </w:pPr>
      <w:r w:rsidRPr="001D6BB9">
        <w:rPr>
          <w:rFonts w:ascii="Arial" w:hAnsi="Arial" w:cs="Arial"/>
        </w:rPr>
        <w:t>‌</w:t>
      </w:r>
      <w:r w:rsidR="002D5195" w:rsidRPr="002D5195">
        <w:rPr>
          <w:rFonts w:ascii="Calibri" w:eastAsia="Times New Roman" w:hAnsi="Calibri" w:cs="Calibri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="002D5195" w:rsidRPr="002D5195">
        <w:rPr>
          <w:rFonts w:ascii="Arial" w:hAnsi="Arial" w:cs="Arial"/>
          <w:b/>
          <w:bCs/>
        </w:rPr>
        <w:t>Banco de Preços em Saúde (BPS)</w:t>
      </w:r>
      <w:r w:rsidR="002D5195" w:rsidRPr="002D5195">
        <w:rPr>
          <w:rFonts w:ascii="Arial" w:hAnsi="Arial" w:cs="Arial"/>
        </w:rPr>
        <w:t>. Disponível em: &lt;https://www.gov.br/saude/pt-br/acesso-a-informacao/banco-de-precos&gt;.</w:t>
      </w:r>
      <w:r w:rsidR="00516966">
        <w:rPr>
          <w:rFonts w:ascii="Arial" w:hAnsi="Arial" w:cs="Arial"/>
        </w:rPr>
        <w:t xml:space="preserve"> </w:t>
      </w:r>
      <w:r w:rsidR="00516966" w:rsidRPr="001D6BB9">
        <w:rPr>
          <w:rFonts w:ascii="Arial" w:hAnsi="Arial" w:cs="Arial"/>
        </w:rPr>
        <w:t>Acesso em: 20 out. 2025.</w:t>
      </w:r>
    </w:p>
    <w:p w14:paraId="6406791B" w14:textId="3507253C" w:rsidR="001D6BB9" w:rsidRPr="001D6BB9" w:rsidRDefault="002D5195" w:rsidP="001D6BB9">
      <w:pPr>
        <w:rPr>
          <w:rFonts w:ascii="Arial" w:hAnsi="Arial" w:cs="Arial"/>
        </w:rPr>
      </w:pPr>
      <w:r w:rsidRPr="002D5195">
        <w:rPr>
          <w:rFonts w:ascii="Arial" w:hAnsi="Arial" w:cs="Arial"/>
        </w:rPr>
        <w:t>‌</w:t>
      </w:r>
      <w:r w:rsidR="001D6BB9" w:rsidRPr="001D6BB9">
        <w:rPr>
          <w:rFonts w:ascii="Arial" w:hAnsi="Arial" w:cs="Arial"/>
        </w:rPr>
        <w:t>FERNANDO BUENO. </w:t>
      </w:r>
      <w:r w:rsidR="001D6BB9" w:rsidRPr="001D6BB9">
        <w:rPr>
          <w:rFonts w:ascii="Arial" w:hAnsi="Arial" w:cs="Arial"/>
          <w:b/>
          <w:bCs/>
        </w:rPr>
        <w:t>Financiamento e critérios de alocação de Recursos do SUS</w:t>
      </w:r>
      <w:r w:rsidR="001D6BB9" w:rsidRPr="001D6BB9">
        <w:rPr>
          <w:rFonts w:ascii="Arial" w:hAnsi="Arial" w:cs="Arial"/>
        </w:rPr>
        <w:t>. Disponível em: &lt;https://www.youtube.com/watch?v=X-jXjVeJgf8&gt;. Acesso em: 20 out. 2025.</w:t>
      </w:r>
    </w:p>
    <w:p w14:paraId="6760F266" w14:textId="77777777" w:rsidR="001D6BB9" w:rsidRPr="001D6BB9" w:rsidRDefault="001D6BB9" w:rsidP="001D6BB9">
      <w:pPr>
        <w:rPr>
          <w:rFonts w:ascii="Arial" w:hAnsi="Arial" w:cs="Arial"/>
        </w:rPr>
      </w:pPr>
      <w:r w:rsidRPr="001D6BB9">
        <w:rPr>
          <w:rFonts w:ascii="Arial" w:hAnsi="Arial" w:cs="Arial"/>
        </w:rPr>
        <w:t>‌</w:t>
      </w:r>
    </w:p>
    <w:p w14:paraId="64182473" w14:textId="7C079005" w:rsidR="00C85D02" w:rsidRPr="00444C97" w:rsidRDefault="001E68A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="00C85D02">
        <w:rPr>
          <w:rFonts w:ascii="Arial" w:hAnsi="Arial" w:cs="Arial"/>
        </w:rPr>
        <w:t xml:space="preserve"> </w:t>
      </w:r>
    </w:p>
    <w:sectPr w:rsidR="00C85D02" w:rsidRPr="00444C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97"/>
    <w:rsid w:val="001C04D7"/>
    <w:rsid w:val="001D6BB9"/>
    <w:rsid w:val="001E68AE"/>
    <w:rsid w:val="00222470"/>
    <w:rsid w:val="002D5195"/>
    <w:rsid w:val="003C7491"/>
    <w:rsid w:val="00444C97"/>
    <w:rsid w:val="00471D5C"/>
    <w:rsid w:val="00486C8C"/>
    <w:rsid w:val="004A28FA"/>
    <w:rsid w:val="004B0DCB"/>
    <w:rsid w:val="00516966"/>
    <w:rsid w:val="005A4AA6"/>
    <w:rsid w:val="00780011"/>
    <w:rsid w:val="009D0C08"/>
    <w:rsid w:val="00A93BE1"/>
    <w:rsid w:val="00B45D11"/>
    <w:rsid w:val="00B86B7B"/>
    <w:rsid w:val="00C22B92"/>
    <w:rsid w:val="00C85D02"/>
    <w:rsid w:val="00C95CAD"/>
    <w:rsid w:val="00E303F8"/>
    <w:rsid w:val="00E474B5"/>
    <w:rsid w:val="00EF35CB"/>
    <w:rsid w:val="00F04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53AD2"/>
  <w15:chartTrackingRefBased/>
  <w15:docId w15:val="{4DCBA105-E31B-418F-B3E6-4DC4D417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4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4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4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4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4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4C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4C9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4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4C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4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4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4C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4C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4C9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4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4C9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4C9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519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411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teo</dc:creator>
  <cp:keywords/>
  <dc:description/>
  <cp:lastModifiedBy>bianca teo</cp:lastModifiedBy>
  <cp:revision>5</cp:revision>
  <dcterms:created xsi:type="dcterms:W3CDTF">2025-10-20T21:01:00Z</dcterms:created>
  <dcterms:modified xsi:type="dcterms:W3CDTF">2025-12-01T22:22:00Z</dcterms:modified>
</cp:coreProperties>
</file>