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7B241C"/>
          <w:sz w:val="56"/>
          <w:szCs w:val="56"/>
        </w:rPr>
        <w:t xml:space="preserve">VITA</w:t>
      </w:r>
    </w:p>
    <w:p>
      <w:pPr>
        <w:spacing w:after="100"/>
        <w:jc w:val="center"/>
      </w:pPr>
      <w:r>
        <w:rPr>
          <w:sz w:val="32"/>
          <w:szCs w:val="32"/>
        </w:rPr>
        <w:t xml:space="preserve">Dicionário de Dados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Camada Gold · Amazon Athena · Challenge Oracle × FIAP 2026 · Grupo 1TSCOB</w:t>
      </w:r>
    </w:p>
    <w:p>
      <w:pPr>
        <w:spacing w:after="160"/>
        <w:jc w:val="center"/>
      </w:pPr>
      <w:r>
        <w:t xml:space="preserve">Este documento descreve, tabela por tabela e coluna por coluna, todo o dado disponível na camada Gold do datalake (consultável via Amazon Athena, database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vita_gold</w:t>
      </w:r>
      <w:r>
        <w:t xml:space="preserve">). Inclui as 6 tabelas físicas e as 4 views de negócio consumidas pelo dashboard.</w:t>
      </w:r>
    </w:p>
    <w:p>
      <w:pPr>
        <w:spacing w:after="160"/>
        <w:jc w:val="center"/>
      </w:pPr>
      <w:r>
        <w:t xml:space="preserve">Ver também o diagrama visual de relacionamento entre as tabelas: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docs/images/dicionario_dados_er.svg</w:t>
      </w:r>
      <w:r>
        <w:t xml:space="preserve">.</w:t>
      </w:r>
    </w:p>
    <w:p>
      <w:pPr>
        <w:spacing w:after="300"/>
      </w:pPr>
    </w:p>
    <w:p>
      <w:pPr>
        <w:pStyle w:val="Heading2"/>
        <w:spacing w:after="160" w:before="200"/>
      </w:pPr>
      <w:r>
        <w:t xml:space="preserve">Navegação rápida (clique para ir direto à tabela)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9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1">
              <w:r>
                <w:rPr>
                  <w:rStyle w:val="Hyperlink"/>
                  <w:rFonts w:ascii="Consolas" w:cs="Consolas" w:eastAsia="Consolas" w:hAnsi="Consolas"/>
                </w:rPr>
                <w:t xml:space="preserve">municipios_referencia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DIM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2">
              <w:r>
                <w:rPr>
                  <w:rStyle w:val="Hyperlink"/>
                  <w:rFonts w:ascii="Consolas" w:cs="Consolas" w:eastAsia="Consolas" w:hAnsi="Consolas"/>
                </w:rPr>
                <w:t xml:space="preserve">dim_hospital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DIM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3">
              <w:r>
                <w:rPr>
                  <w:rStyle w:val="Hyperlink"/>
                  <w:rFonts w:ascii="Consolas" w:cs="Consolas" w:eastAsia="Consolas" w:hAnsi="Consolas"/>
                </w:rPr>
                <w:t xml:space="preserve">dim_tempo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FATO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4">
              <w:r>
                <w:rPr>
                  <w:rStyle w:val="Hyperlink"/>
                  <w:rFonts w:ascii="Consolas" w:cs="Consolas" w:eastAsia="Consolas" w:hAnsi="Consolas"/>
                </w:rPr>
                <w:t xml:space="preserve">fato_internacoes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5">
              <w:r>
                <w:rPr>
                  <w:rStyle w:val="Hyperlink"/>
                  <w:rFonts w:ascii="Consolas" w:cs="Consolas" w:eastAsia="Consolas" w:hAnsi="Consolas"/>
                </w:rPr>
                <w:t xml:space="preserve">kpi_pressao_hospitalar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6">
              <w:r>
                <w:rPr>
                  <w:rStyle w:val="Hyperlink"/>
                  <w:rFonts w:ascii="Consolas" w:cs="Consolas" w:eastAsia="Consolas" w:hAnsi="Consolas"/>
                </w:rPr>
                <w:t xml:space="preserve">kpi_tendencia_doencas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VIEW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7">
              <w:r>
                <w:rPr>
                  <w:rStyle w:val="Hyperlink"/>
                  <w:rFonts w:ascii="Consolas" w:cs="Consolas" w:eastAsia="Consolas" w:hAnsi="Consolas"/>
                </w:rPr>
                <w:t xml:space="preserve">vw_acompanhamento_geral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VIEW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8">
              <w:r>
                <w:rPr>
                  <w:rStyle w:val="Hyperlink"/>
                  <w:rFonts w:ascii="Consolas" w:cs="Consolas" w:eastAsia="Consolas" w:hAnsi="Consolas"/>
                </w:rPr>
                <w:t xml:space="preserve">vw_tendencia_doencas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VIEW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9">
              <w:r>
                <w:rPr>
                  <w:rStyle w:val="Hyperlink"/>
                  <w:rFonts w:ascii="Consolas" w:cs="Consolas" w:eastAsia="Consolas" w:hAnsi="Consolas"/>
                </w:rPr>
                <w:t xml:space="preserve">vw_pressao_por_regiao</w:t>
              </w:r>
            </w:hyperlink>
          </w:p>
        </w:tc>
      </w:tr>
      <w:tr>
        <w:trPr>
          <w:cantSplit/>
        </w:trPr>
        <w:tc>
          <w:tcPr>
            <w:tcW w:type="dxa" w:w="9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VIEW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tabela-10">
              <w:r>
                <w:rPr>
                  <w:rStyle w:val="Hyperlink"/>
                  <w:rFonts w:ascii="Consolas" w:cs="Consolas" w:eastAsia="Consolas" w:hAnsi="Consolas"/>
                </w:rPr>
                <w:t xml:space="preserve">vw_ranking_hospitais_criticos</w:t>
              </w:r>
            </w:hyperlink>
          </w:p>
        </w:tc>
      </w:tr>
    </w:tbl>
    <w:p>
      <w:r>
        <w:br w:type="page"/>
      </w:r>
    </w:p>
    <w:p>
      <w:pPr>
        <w:pStyle w:val="Heading2"/>
        <w:spacing w:after="100" w:before="100"/>
      </w:pPr>
      <w:r>
        <w:rPr>
          <w:color w:val="333333"/>
        </w:rPr>
        <w:t xml:space="preserve">TABELAS FÍSICAS (armazenam dado no S3)</w:t>
      </w:r>
    </w:p>
    <w:p>
      <w:pPr>
        <w:pStyle w:val="Heading1"/>
        <w:pBdr>
          <w:bottom w:val="single" w:color="1E8449" w:sz="8" w:space="6"/>
        </w:pBdr>
        <w:spacing w:after="60" w:before="500"/>
      </w:pPr>
      <w:bookmarkStart w:name="tabela-1" w:id="1"/>
      <w:r>
        <w:rPr>
          <w:rFonts w:ascii="Consolas" w:cs="Consolas" w:eastAsia="Consolas" w:hAnsi="Consolas"/>
          <w:color w:val="1E8449"/>
        </w:rPr>
        <w:t xml:space="preserve">municipios_referencia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1E8449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REFERÊNCIA (Fonte 3 · CSV/IBGE)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(external table apontando direto para o Bronze — sem carga manual)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Fonte original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 Localidades do IBGE (servicodados.ibge.gov.br)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município do estado de SP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645 municípios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— script `ingestion/ingest_csv_auxiliar.py`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codigo_municipio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IBGE de 7 dígitos do município. Chave usada para juntar com dim_hospital.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3550308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nome_municipio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oficial do município.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São Paulo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 da unidade federativa. Neste projeto, sempre 'SP'.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regiao_saude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Aproximação da região de saúde, usando a mesorregião/região imediata do IBGE (não há API pública para a divisão oficial de região de saúde do SUS).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Metropolitana de São Paulo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populacao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Raramente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População estimada (IBGE). Quando a API de estimativas não retorna valor para o município, é preenchida com uma estimativa grosseira (5 mil–50 mil).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12396372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meta_leitos_1000hab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assistencial de referência (leitos por 1.000 habitantes) — valor ilustrativo, não é um indicador oficial do Ministério da Saúde.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34495E" w:sz="8" w:space="6"/>
        </w:pBdr>
        <w:spacing w:after="60" w:before="500"/>
      </w:pPr>
      <w:bookmarkStart w:name="tabela-2" w:id="1"/>
      <w:r>
        <w:rPr>
          <w:rFonts w:ascii="Consolas" w:cs="Consolas" w:eastAsia="Consolas" w:hAnsi="Consolas"/>
          <w:color w:val="34495E"/>
        </w:rPr>
        <w:t xml:space="preserve">dim_hospital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34495E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DIMENSÃO (Fonte 2 · API CNES)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(Silver → Gold via `etl/glue_bronze_to_silver_cnes.py` + `glue_silver_to_gold_kpis.py`)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Fonte original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 Dados Abertos do Ministério da Saúde — CNES/Estabelecimentos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estabelecimento de saúde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 estabelecimentos (cobertura de 100% dos hospitais que aparecem em fato_internacoes)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Observação importante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leitos_totais e leitos_sus são sempre nulos — o endpoint de cadastro do CNES não disponibiliza contagem de leitos; ficam reservados para uma fonte futura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cnes_id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CNES (Cadastro Nacional de Estabelecimentos de Saúde), identificador único do estabelecimento.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2079895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nome_estabelecimento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fantasia do estabelecimento.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Hospital das Clínicas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codigo_tipo_unidade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do tipo de unidade (tabela de domínio do CNES). Ex.: 05=Hospital Geral, 07=Hospital Especializado, 02=UBS, 73=Pronto Atendimento.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eh_tipo_hospitalar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Derivado de codigo_tipo_unidade — TRUE para tipos com internação (Hospital Geral, Especializado, Unidade Mista, Pronto Socorro, Hospital-Dia).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 da UF, derivada do código IBGE (codigo_uf) retornado pela API.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codigo_municipio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IBGE do município do estabelecimento. Junta com municipios_referencia.codigo_municipio.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3550308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Coordenadas geográficas do estabelecimento, usadas no mapa do dashboard.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-23.55 / -46.63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leitos_totais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disponível no endpoint de cadastro do CNES usado. Reservado para enriquecimento futuro.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leitos_sus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 — não disponível na fonte atual.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possui_atendimento_hospitalar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(0/1) vindo direto da API, indicando se o estabelecimento presta atendimento hospitalar.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34495E" w:sz="8" w:space="6"/>
        </w:pBdr>
        <w:spacing w:after="60" w:before="500"/>
      </w:pPr>
      <w:bookmarkStart w:name="tabela-3" w:id="1"/>
      <w:r>
        <w:rPr>
          <w:rFonts w:ascii="Consolas" w:cs="Consolas" w:eastAsia="Consolas" w:hAnsi="Consolas"/>
          <w:color w:val="34495E"/>
        </w:rPr>
        <w:t xml:space="preserve">dim_tempo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34495E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DIMENSÃO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— derivada de fato_internacoes.DT_INTER (data de internação)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combinação distinta de ano/mês/semana epidemiológica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Chave de junção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há chave única formal — o join com fato_internacoes é feito por (ano, mes)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 da internação. Junta com fato_internacoes.ano (também usado como partição física).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 da internação (1-12). Junta com fato_internacoes.mes.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semana_epidemiologica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epidemiológica do ano (padrão usado em vigilância em saúde), derivada de DT_INTER.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trimestre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Trimestre do ano, calculado a partir do mês: ((mes-1)/3)+1.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B7950B" w:sz="8" w:space="6"/>
        </w:pBdr>
        <w:spacing w:after="60" w:before="500"/>
      </w:pPr>
      <w:bookmarkStart w:name="tabela-4" w:id="1"/>
      <w:r>
        <w:rPr>
          <w:rFonts w:ascii="Consolas" w:cs="Consolas" w:eastAsia="Consolas" w:hAnsi="Consolas"/>
          <w:color w:val="B7950B"/>
        </w:rPr>
        <w:t xml:space="preserve">fato_internacoes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B7950B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FATO (Fonte 1 · SIH/SUS via PySUS) — TABELA CENTRAL DO MODELO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(Bronze → Silver → Gold via `glue_bronze_to_silver_sih.py` + `glue_silver_to_gold_kpis.py`)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Fonte original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SIH/SUS — Sistema de Informações Hospitalares, grupo RD (AIH Reduzida), extraído via biblioteca PySUS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internação (1 AIH — Autorização de Internação Hospitalar)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Volume total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16.781.083 linhas (histórico completo ingerido, 2020-01 a 2026-07, UF=SP)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Recorte usado no dashboard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Filtrado em tempo de consulta para Dengue clássica (cid_principal = 'A90'), SP, 2023-2025 — a tabela em si contém TODAS as doenças e todo o período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Particionamento físico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Particionada no S3 por (ano, mes) — sempre rodar MSCK REPAIR TABLE após nova carga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B795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cnes_id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CNES do hospital onde ocorreu a internação. Junta com dim_hospital.cnes_id.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2079895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municipio_id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do município de movimentação (MUNIC_MOV), vindo direto do SIH. Não é usado como chave de join no modelo atual (usa-se dim_hospital.codigo_municipio).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355030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/ partição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 da internação. Partição física no S3.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/ partição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 da internação. Partição física no S3.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semana_epidemiologica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epidemiológica da internação.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cid_principal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CID-10 do diagnóstico principal. Dengue = 'A90' (clássica) / 'A91' (hemorrágica) — o dashboard filtra só 'A90'.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A90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total pago pela internação (SUS), em reais.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397.68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dias_permanencia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 de permanência hospitalar. Usado para calcular 'pacientes críticos' (&gt;= 10 dias) no índice de pressão.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6C3CE0" w:sz="8" w:space="6"/>
        </w:pBdr>
        <w:spacing w:after="60" w:before="500"/>
      </w:pPr>
      <w:bookmarkStart w:name="tabela-5" w:id="1"/>
      <w:r>
        <w:rPr>
          <w:rFonts w:ascii="Consolas" w:cs="Consolas" w:eastAsia="Consolas" w:hAnsi="Consolas"/>
          <w:color w:val="6C3CE0"/>
        </w:rPr>
        <w:t xml:space="preserve">kpi_pressao_hospitalar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6C3CE0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KPI / MACHINE LEARNING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— calculada dentro de `etl/glue_silver_to_gold_kpis.py`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Técnica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K-Means (scikit-learn), 4 clusters, sobre variáveis normalizadas por período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hospital x 1 mês, somando TODAS as doenças (não é específico de dengue)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Volume (última medição)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~50.540 linhas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de uso no dashboard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Calculada e disponível, mas AINDA NÃO exibida nas abas atuais — as telas de mapa/ranking usam contagem direta de casos de dengue em vez do índice geral (ver observação no README do projeto)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cnes_id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 ao qual o KPI se refere. Junta com dim_hospital.cnes_id.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2079895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 / mes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de referência do cálculo.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 / 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qtd_internacoes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internações do hospital no mês (todas as doenças).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412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permanencia_media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de dias de permanência das internações do mês.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pacientes_criticos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internações com permanência ≥ 10 dias.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cluster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atribuído pelo K-Means (0 a 3), ordenado por volume de internações.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nivel_risco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Rótulo textual do cluster: Baixo risco / Atenção / Crítico / Sobrecarga iminente.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indice_pressao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0-100, combinação ponderada de volume (50%), permanência (30%) e pacientes críticos (20%), normalizados pelo máximo do período.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72.4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6C3CE0" w:sz="8" w:space="6"/>
        </w:pBdr>
        <w:spacing w:after="60" w:before="500"/>
      </w:pPr>
      <w:bookmarkStart w:name="tabela-6" w:id="1"/>
      <w:r>
        <w:rPr>
          <w:rFonts w:ascii="Consolas" w:cs="Consolas" w:eastAsia="Consolas" w:hAnsi="Consolas"/>
          <w:color w:val="6C3CE0"/>
        </w:rPr>
        <w:t xml:space="preserve">kpi_tendencia_doencas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6C3CE0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KPI / AGREGADO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— calculada em `etl/glue_silver_to_gold_kpis.py`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linha = 1 UF x 1 doença (CID) x 1 semana epidemiológica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Uso no dashboard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da view vw_tendencia_doencas (aba 'Visão Evolutiva')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6C3C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Unidade federativa (derivada do hospital via join interno).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cid_principal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CID-10 da doença.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A90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 / mes / semana_epidemiologica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de referência.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 / 3 / 11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qtd_casos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casos (internações) da doença naquela semana/UF.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qtd_casos_semana_anterior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 1ª semana da série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da semana imediatamente anterior, via função de janela LAG().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variacao_pct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não há semana anterior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Variação percentual em relação à semana anterior: (atual - anterior) / anterior × 100.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50.0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100" w:before="100"/>
      </w:pPr>
      <w:r>
        <w:rPr>
          <w:color w:val="333333"/>
        </w:rPr>
        <w:t xml:space="preserve">VIEWS DE NEGÓCIO (consultas salvas, sem armazenamento próprio)</w:t>
      </w:r>
    </w:p>
    <w:p>
      <w:pPr>
        <w:pStyle w:val="Heading1"/>
        <w:pBdr>
          <w:bottom w:val="single" w:color="C0392B" w:sz="8" w:space="6"/>
        </w:pBdr>
        <w:spacing w:after="60" w:before="500"/>
      </w:pPr>
      <w:bookmarkStart w:name="tabela-7" w:id="1"/>
      <w:r>
        <w:rPr>
          <w:rFonts w:ascii="Consolas" w:cs="Consolas" w:eastAsia="Consolas" w:hAnsi="Consolas"/>
          <w:color w:val="C0392B"/>
        </w:rPr>
        <w:t xml:space="preserve">vw_acompanhamento_geral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C0392B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VIEW DE NEGÓCIO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 REPLACE VIEW — não armazena dado, recalcula a cada consulta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Consumida por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Streamlit → aba "Visão Geral"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Construída a partir 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fato_internacoes + dim_hospital + municipios_referencia + kpi_pressao_hospitalar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ano, mes, uf, nome_municipio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diversos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Dimensões de agrupamento.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2024, 3, SP, São Paulo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qtd_internacoes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COUNT(*) de internações no grupo.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valor_total_pago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SOMA do valor pago no grupo.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480000.00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permanencia_media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de dias de permanência no grupo.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indice_pressao_medio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do índice de pressão hospitalar dos hospitais do grupo.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58.2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nivel_risco_predominante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MAX(nivel_risco) — usado como aproximação do nível mais crítico do grupo.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Atenção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C0392B" w:sz="8" w:space="6"/>
        </w:pBdr>
        <w:spacing w:after="60" w:before="500"/>
      </w:pPr>
      <w:bookmarkStart w:name="tabela-8" w:id="1"/>
      <w:r>
        <w:rPr>
          <w:rFonts w:ascii="Consolas" w:cs="Consolas" w:eastAsia="Consolas" w:hAnsi="Consolas"/>
          <w:color w:val="C0392B"/>
        </w:rPr>
        <w:t xml:space="preserve">vw_tendencia_doencas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C0392B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VIEW DE NEGÓCIO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 REPLACE VIEW — não armazena dado, recalcula a cada consulta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Consumida por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Streamlit → aba "Visão Evolutiva"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Construída a partir 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kpi_tendencia_doencas (agregado de semana para mês)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uf, cid_principal, ano, mes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diversos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Dimensões de agrupamento.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SP, A90, 2024, 3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qtd_casos_mes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SOMA de qtd_casos de todas as semanas do mês.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variacao_media_pct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das variações semanais percentuais dentro do mês.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C0392B" w:sz="8" w:space="6"/>
        </w:pBdr>
        <w:spacing w:after="60" w:before="500"/>
      </w:pPr>
      <w:bookmarkStart w:name="tabela-9" w:id="1"/>
      <w:r>
        <w:rPr>
          <w:rFonts w:ascii="Consolas" w:cs="Consolas" w:eastAsia="Consolas" w:hAnsi="Consolas"/>
          <w:color w:val="C0392B"/>
        </w:rPr>
        <w:t xml:space="preserve">vw_pressao_por_regiao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C0392B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VIEW DE NEGÓCIO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 REPLACE VIEW — não armazena dado, recalcula a cada consulta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Consumida por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Streamlit → base conceitual da aba "Mapa" (o dashboard atual usa uma consulta direta de contagem de dengue em vez desta view — ver nota na tabela kpi_pressao_hospitalar)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Construída a partir 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kpi_pressao_hospitalar + dim_hospital + fato_internacoes + municipios_referencia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uf, nome_municipio, regiao_saude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diversos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Dimensões geográficas.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SP, Campinas, Campinas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Coordenadas do hospital, para plotagem no mapa.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-22.90 / -47.06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indice_pressao_medio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do índice de pressão dos hospitais da região.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45.1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nivel_risco_regiao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nível de risco representativo da região (primeiro valor distinto agregado).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Atenção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internacoes_por_1000hab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dias de permanência dividido pela população do município × 1000 — proxy de carga assistencial per capita.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C0392B" w:sz="8" w:space="6"/>
        </w:pBdr>
        <w:spacing w:after="60" w:before="500"/>
      </w:pPr>
      <w:bookmarkStart w:name="tabela-10" w:id="1"/>
      <w:r>
        <w:rPr>
          <w:rFonts w:ascii="Consolas" w:cs="Consolas" w:eastAsia="Consolas" w:hAnsi="Consolas"/>
          <w:color w:val="C0392B"/>
        </w:rPr>
        <w:t xml:space="preserve">vw_ranking_hospitais_criticos</w:t>
      </w:r>
      <w:bookmarkEnd w:id="1"/>
    </w:p>
    <w:p>
      <w:pPr>
        <w:spacing w:after="200"/>
      </w:pPr>
      <w:tbl>
        <w:tblPr>
          <w:tblW w:type="dxa" w:w="2600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>
        <w:tblGrid>
          <w:gridCol w:w="100"/>
        </w:tblGrid>
        <w:tr>
          <w:trPr>
            <w:cantSplit/>
          </w:trPr>
          <w:tc>
            <w:tcPr>
              <w:tcW w:type="dxa" w:w="2600"/>
              <w:shd w:fill="C0392B" w:val="clear"/>
              <w:tcMar>
                <w:top w:type="dxa" w:w="60"/>
                <w:left w:type="dxa" w:w="160"/>
                <w:bottom w:type="dxa" w:w="60"/>
                <w:right w:type="dxa" w:w="160"/>
              </w:tcMar>
            </w:tcPr>
            <w:p>
              <w:pPr>
                <w:spacing w:after="0"/>
              </w:pPr>
              <w:r>
                <w:rPr>
                  <w:b/>
                  <w:bCs/>
                  <w:color w:val="FFFFFF"/>
                  <w:sz w:val="18"/>
                  <w:szCs w:val="18"/>
                </w:rPr>
                <w:t xml:space="preserve">VIEW DE NEGÓCIO</w:t>
              </w:r>
            </w:p>
          </w:tc>
        </w:tr>
      </w:tbl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 REPLACE VIEW — não armazena dado, recalcula a cada consulta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Consumida por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Streamlit → base conceitual da aba "Hospitais Mais Afetados" (o dashboard atual usa uma consulta direta de contagem de dengue em vez desta view)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Construída a partir 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kpi_pressao_hospitalar + dim_hospital + municipios_referencia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42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regra de negócio</w:t>
            </w:r>
          </w:p>
        </w:tc>
        <w:tc>
          <w:tcPr>
            <w:tcW w:type="dxa" w:w="21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nome_estabelecimento, uf, nome_municipio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diversos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Identificação do hospital.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Hospital das Clínicas, SP, São Paulo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ano, mes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de referência.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2024, 3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indice_pressao, nivel_risco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DOUBLE, STRING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Vindos direto de kpi_pressao_hospitalar.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88.5, Sobrecarga iminente</w:t>
            </w:r>
          </w:p>
        </w:tc>
      </w:tr>
      <w:tr>
        <w:trPr>
          <w:cantSplit/>
        </w:trPr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qtd_internacoes, permanencia_media</w:t>
            </w:r>
          </w:p>
        </w:tc>
        <w:tc>
          <w:tcPr>
            <w:tcW w:type="dxa" w:w="1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BIGINT, DOUBLE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Vindos direto de kpi_pressao_hospitalar.</w:t>
            </w:r>
          </w:p>
        </w:tc>
        <w:tc>
          <w:tcPr>
            <w:tcW w:type="dxa" w:w="21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412, 4.2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ranking_criticidade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RANK() OVER (PARTITION BY ano, mes ORDER BY indice_pressao DESC) — só inclui hospitais Crítico/Sobrecarga iminente.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300"/>
      </w:pP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888888"/>
          <w:sz w:val="16"/>
          <w:szCs w:val="16"/>
        </w:rPr>
        <w:t xml:space="preserve">Grupo 1TSCOB · Challenge Oracle &amp; FIAP 2026 · Fonte dos schemas: analytics/athena_ddl.sql e analytics/athena_gold_views.sql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2026-08-24T23:32:47.549Z</dcterms:created>
  <dcterms:modified xsi:type="dcterms:W3CDTF">2026-08-24T23:32:47.549Z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