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60" w:after="120" w:line="259"/>
        <w:ind w:right="0" w:left="0" w:firstLine="0"/>
        <w:jc w:val="center"/>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S1/L2 </w:t>
      </w:r>
    </w:p>
    <w:p>
      <w:pPr>
        <w:spacing w:before="460" w:after="120" w:line="259"/>
        <w:ind w:right="0" w:left="0" w:firstLine="0"/>
        <w:jc w:val="center"/>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8"/>
          <w:shd w:fill="FFFFFF" w:val="clear"/>
        </w:rPr>
        <w:t xml:space="preserve">Gruppo </w:t>
      </w:r>
    </w:p>
    <w:p>
      <w:pPr>
        <w:spacing w:before="0" w:after="120" w:line="259"/>
        <w:ind w:right="0" w:left="0" w:firstLine="0"/>
        <w:jc w:val="center"/>
        <w:rPr>
          <w:rFonts w:ascii="Arial" w:hAnsi="Arial" w:cs="Arial" w:eastAsia="Arial"/>
          <w:color w:val="595959"/>
          <w:spacing w:val="0"/>
          <w:position w:val="0"/>
          <w:sz w:val="32"/>
          <w:shd w:fill="FFFFFF" w:val="clear"/>
        </w:rPr>
      </w:pPr>
      <w:r>
        <w:rPr>
          <w:rFonts w:ascii="Arial" w:hAnsi="Arial" w:cs="Arial" w:eastAsia="Arial"/>
          <w:b/>
          <w:i/>
          <w:color w:val="595959"/>
          <w:spacing w:val="0"/>
          <w:position w:val="0"/>
          <w:sz w:val="32"/>
          <w:shd w:fill="FFFF00" w:val="clear"/>
        </w:rPr>
        <w:t xml:space="preserve">FILM D’ESSAI</w:t>
      </w:r>
      <w:r>
        <w:rPr>
          <w:rFonts w:ascii="Arial" w:hAnsi="Arial" w:cs="Arial" w:eastAsia="Arial"/>
          <w:color w:val="595959"/>
          <w:spacing w:val="0"/>
          <w:position w:val="0"/>
          <w:sz w:val="32"/>
          <w:shd w:fill="FFFFFF" w:val="clear"/>
        </w:rPr>
        <w:t xml:space="preserve"> </w:t>
      </w:r>
    </w:p>
    <w:p>
      <w:pPr>
        <w:spacing w:before="0" w:after="120" w:line="259"/>
        <w:ind w:right="0" w:left="0" w:firstLine="0"/>
        <w:jc w:val="left"/>
        <w:rPr>
          <w:rFonts w:ascii="Arial" w:hAnsi="Arial" w:cs="Arial" w:eastAsia="Arial"/>
          <w:color w:val="595959"/>
          <w:spacing w:val="0"/>
          <w:position w:val="0"/>
          <w:sz w:val="24"/>
          <w:shd w:fill="FFFFFF" w:val="clear"/>
        </w:rPr>
      </w:pPr>
      <w:r>
        <w:rPr>
          <w:rFonts w:ascii="Arial" w:hAnsi="Arial" w:cs="Arial" w:eastAsia="Arial"/>
          <w:b/>
          <w:i/>
          <w:color w:val="595959"/>
          <w:spacing w:val="0"/>
          <w:position w:val="0"/>
          <w:sz w:val="24"/>
          <w:shd w:fill="FFFFFF" w:val="clear"/>
        </w:rPr>
        <w:t xml:space="preserve">Testa Carlo</w:t>
      </w:r>
      <w:r>
        <w:rPr>
          <w:rFonts w:ascii="Arial" w:hAnsi="Arial" w:cs="Arial" w:eastAsia="Arial"/>
          <w:color w:val="595959"/>
          <w:spacing w:val="0"/>
          <w:position w:val="0"/>
          <w:sz w:val="24"/>
          <w:shd w:fill="FFFFFF" w:val="clear"/>
        </w:rPr>
        <w:t xml:space="preserve"> </w:t>
      </w:r>
    </w:p>
    <w:p>
      <w:pPr>
        <w:spacing w:before="0" w:after="120" w:line="259"/>
        <w:ind w:right="0" w:left="0" w:firstLine="0"/>
        <w:jc w:val="left"/>
        <w:rPr>
          <w:rFonts w:ascii="Arial" w:hAnsi="Arial" w:cs="Arial" w:eastAsia="Arial"/>
          <w:color w:val="595959"/>
          <w:spacing w:val="0"/>
          <w:position w:val="0"/>
          <w:sz w:val="24"/>
          <w:shd w:fill="FFFFFF" w:val="clear"/>
        </w:rPr>
      </w:pPr>
      <w:r>
        <w:rPr>
          <w:rFonts w:ascii="Arial" w:hAnsi="Arial" w:cs="Arial" w:eastAsia="Arial"/>
          <w:b/>
          <w:i/>
          <w:color w:val="595959"/>
          <w:spacing w:val="0"/>
          <w:position w:val="0"/>
          <w:sz w:val="24"/>
          <w:shd w:fill="FFFFFF" w:val="clear"/>
        </w:rPr>
        <w:t xml:space="preserve">Cautiero Mario</w:t>
      </w:r>
      <w:r>
        <w:rPr>
          <w:rFonts w:ascii="Arial" w:hAnsi="Arial" w:cs="Arial" w:eastAsia="Arial"/>
          <w:color w:val="595959"/>
          <w:spacing w:val="0"/>
          <w:position w:val="0"/>
          <w:sz w:val="24"/>
          <w:shd w:fill="FFFFFF" w:val="clear"/>
        </w:rPr>
        <w:t xml:space="preserve"> </w:t>
      </w:r>
    </w:p>
    <w:p>
      <w:pPr>
        <w:spacing w:before="0" w:after="120" w:line="259"/>
        <w:ind w:right="0" w:left="0" w:firstLine="0"/>
        <w:jc w:val="left"/>
        <w:rPr>
          <w:rFonts w:ascii="Arial" w:hAnsi="Arial" w:cs="Arial" w:eastAsia="Arial"/>
          <w:color w:val="595959"/>
          <w:spacing w:val="0"/>
          <w:position w:val="0"/>
          <w:sz w:val="24"/>
          <w:shd w:fill="FFFFFF" w:val="clear"/>
        </w:rPr>
      </w:pPr>
      <w:r>
        <w:rPr>
          <w:rFonts w:ascii="Arial" w:hAnsi="Arial" w:cs="Arial" w:eastAsia="Arial"/>
          <w:b/>
          <w:i/>
          <w:color w:val="595959"/>
          <w:spacing w:val="0"/>
          <w:position w:val="0"/>
          <w:sz w:val="24"/>
          <w:shd w:fill="FFFFFF" w:val="clear"/>
        </w:rPr>
        <w:t xml:space="preserve">Newgep Tchonang Vidalle</w:t>
      </w:r>
      <w:r>
        <w:rPr>
          <w:rFonts w:ascii="Arial" w:hAnsi="Arial" w:cs="Arial" w:eastAsia="Arial"/>
          <w:color w:val="595959"/>
          <w:spacing w:val="0"/>
          <w:position w:val="0"/>
          <w:sz w:val="24"/>
          <w:shd w:fill="FFFFFF" w:val="clear"/>
        </w:rPr>
        <w:t xml:space="preserve"> </w:t>
      </w:r>
    </w:p>
    <w:p>
      <w:pPr>
        <w:spacing w:before="0" w:after="120" w:line="259"/>
        <w:ind w:right="0" w:left="0" w:firstLine="0"/>
        <w:jc w:val="right"/>
        <w:rPr>
          <w:rFonts w:ascii="Arial" w:hAnsi="Arial" w:cs="Arial" w:eastAsia="Arial"/>
          <w:color w:val="595959"/>
          <w:spacing w:val="0"/>
          <w:position w:val="0"/>
          <w:sz w:val="24"/>
          <w:shd w:fill="FFFFFF" w:val="clear"/>
        </w:rPr>
      </w:pPr>
      <w:r>
        <w:rPr>
          <w:rFonts w:ascii="Arial" w:hAnsi="Arial" w:cs="Arial" w:eastAsia="Arial"/>
          <w:b/>
          <w:i/>
          <w:color w:val="595959"/>
          <w:spacing w:val="0"/>
          <w:position w:val="0"/>
          <w:sz w:val="24"/>
          <w:shd w:fill="FFFFFF" w:val="clear"/>
        </w:rPr>
        <w:t xml:space="preserve">De Stefano Raffaele</w:t>
      </w:r>
      <w:r>
        <w:rPr>
          <w:rFonts w:ascii="Arial" w:hAnsi="Arial" w:cs="Arial" w:eastAsia="Arial"/>
          <w:color w:val="595959"/>
          <w:spacing w:val="0"/>
          <w:position w:val="0"/>
          <w:sz w:val="24"/>
          <w:shd w:fill="FFFFFF" w:val="clear"/>
        </w:rPr>
        <w:t xml:space="preserve"> </w:t>
      </w:r>
    </w:p>
    <w:p>
      <w:pPr>
        <w:spacing w:before="0" w:after="120" w:line="259"/>
        <w:ind w:right="0" w:left="0" w:firstLine="0"/>
        <w:jc w:val="right"/>
        <w:rPr>
          <w:rFonts w:ascii="Arial" w:hAnsi="Arial" w:cs="Arial" w:eastAsia="Arial"/>
          <w:color w:val="595959"/>
          <w:spacing w:val="0"/>
          <w:position w:val="0"/>
          <w:sz w:val="24"/>
          <w:shd w:fill="FFFFFF" w:val="clear"/>
        </w:rPr>
      </w:pPr>
      <w:r>
        <w:rPr>
          <w:rFonts w:ascii="Arial" w:hAnsi="Arial" w:cs="Arial" w:eastAsia="Arial"/>
          <w:b/>
          <w:i/>
          <w:color w:val="595959"/>
          <w:spacing w:val="0"/>
          <w:position w:val="0"/>
          <w:sz w:val="24"/>
          <w:shd w:fill="FFFFFF" w:val="clear"/>
        </w:rPr>
        <w:t xml:space="preserve">Hamza Mahmoudi</w:t>
      </w:r>
      <w:r>
        <w:rPr>
          <w:rFonts w:ascii="Arial" w:hAnsi="Arial" w:cs="Arial" w:eastAsia="Arial"/>
          <w:color w:val="595959"/>
          <w:spacing w:val="0"/>
          <w:position w:val="0"/>
          <w:sz w:val="24"/>
          <w:shd w:fill="FFFFFF" w:val="clear"/>
        </w:rPr>
        <w:t xml:space="preserve"> </w:t>
      </w:r>
    </w:p>
    <w:p>
      <w:pPr>
        <w:spacing w:before="0" w:after="120" w:line="259"/>
        <w:ind w:right="0" w:left="0" w:firstLine="0"/>
        <w:jc w:val="right"/>
        <w:rPr>
          <w:rFonts w:ascii="Arial" w:hAnsi="Arial" w:cs="Arial" w:eastAsia="Arial"/>
          <w:color w:val="595959"/>
          <w:spacing w:val="0"/>
          <w:position w:val="0"/>
          <w:sz w:val="24"/>
          <w:shd w:fill="FFFFFF" w:val="clear"/>
        </w:rPr>
      </w:pPr>
      <w:r>
        <w:rPr>
          <w:rFonts w:ascii="Arial" w:hAnsi="Arial" w:cs="Arial" w:eastAsia="Arial"/>
          <w:b/>
          <w:i/>
          <w:color w:val="595959"/>
          <w:spacing w:val="0"/>
          <w:position w:val="0"/>
          <w:sz w:val="24"/>
          <w:shd w:fill="FFFFFF" w:val="clear"/>
        </w:rPr>
        <w:t xml:space="preserve">Balasca Bianca Ioana</w:t>
      </w:r>
      <w:r>
        <w:rPr>
          <w:rFonts w:ascii="Arial" w:hAnsi="Arial" w:cs="Arial" w:eastAsia="Arial"/>
          <w:color w:val="595959"/>
          <w:spacing w:val="0"/>
          <w:position w:val="0"/>
          <w:sz w:val="24"/>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Dataset</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https://informationisbeautiful.net/visualizations/how-to-get-the-usa-to-carbon-netzero/#Solar</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Fonte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https://usafacts.org/</w:t>
        </w:r>
      </w:hyperlink>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Fonte probabilmente di parte.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Investimenti e donazioni di Steve</w:t>
      </w:r>
      <w:r>
        <w:rPr>
          <w:rFonts w:ascii="Calibri" w:hAnsi="Calibri" w:cs="Calibri" w:eastAsia="Calibri"/>
          <w:color w:val="auto"/>
          <w:spacing w:val="0"/>
          <w:position w:val="0"/>
          <w:sz w:val="22"/>
          <w:u w:val="single"/>
          <w:shd w:fill="auto" w:val="clear"/>
        </w:rPr>
        <w:t xml:space="preserve"> Ballmer</w:t>
      </w: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https://philanthropynewsdigest.org/news/ballmer-group-announces-217-million-in-climate-change-commitments#:~:text=Ballmer%20Group%20announces%20%24217%20million%20in%20climate%20change%20commitments,-October%2021%2C%202022</w:t>
        </w:r>
        <w:r>
          <w:rPr>
            <w:rFonts w:ascii="Calibri" w:hAnsi="Calibri" w:cs="Calibri" w:eastAsia="Calibri"/>
            <w:color w:val="0563C1"/>
            <w:spacing w:val="0"/>
            <w:position w:val="0"/>
            <w:sz w:val="22"/>
            <w:u w:val="single"/>
            <w:shd w:fill="auto" w:val="clear"/>
          </w:rPr>
          <w:t xml:space="preserve"> HYPERLINK "https://philanthropynewsdigest.org/news/ballmer-group-announces-217-million-in-climate-change-commitments#:~:text=Ballmer%20Group%20announces%20%24217%20million%20in%20climate%20change%20commitments,-October%2021%2C%202022&amp;text=Ballmer%20Group%20has%20announced%20an,seven%20grants%20totaling%20%24217%20million"</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philanthropynewsdigest.org/news/ballmer-group-announces-217-million-in-climate-change-commitments#:~:text=Ballmer%20Group%20announces%20%24217%20million%20in%20climate%20change%20commitments,-October%2021%2C%202022&amp;text=Ballmer%20Group%20has%20announced%20an,seven%20grants%20totaling%20%24217%20million"</w:t>
        </w:r>
        <w:r>
          <w:rPr>
            <w:rFonts w:ascii="Calibri" w:hAnsi="Calibri" w:cs="Calibri" w:eastAsia="Calibri"/>
            <w:color w:val="0563C1"/>
            <w:spacing w:val="0"/>
            <w:position w:val="0"/>
            <w:sz w:val="22"/>
            <w:u w:val="single"/>
            <w:shd w:fill="auto" w:val="clear"/>
          </w:rPr>
          <w:t xml:space="preserve">text=Ballmer%20Group%20has%20announced%20an,seven%20grants%20totaling%20%24217%20million</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Criticità</w:t>
      </w:r>
      <w:r>
        <w:rPr>
          <w:rFonts w:ascii="Calibri" w:hAnsi="Calibri" w:cs="Calibri" w:eastAsia="Calibri"/>
          <w:color w:val="auto"/>
          <w:spacing w:val="0"/>
          <w:position w:val="0"/>
          <w:sz w:val="22"/>
          <w:shd w:fill="auto" w:val="clear"/>
        </w:rPr>
        <w:t xml:space="preserve">: Dati sulle proiezioni future sono incongruenti; grafico a quadrato con riempimento che potrebbe essere sostituito con una barra a riempimento;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Scelto per il grafico geografico dove è possibile visualizzare in modo semplice la potenziale produzione solare ed eolica dei singoli stati (stati che essendo di grandezze e con flore diverse contribuiscono tutti in modo diverso)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t>
      </w:r>
    </w:p>
    <w:p>
      <w:pPr>
        <w:spacing w:before="0" w:after="160" w:line="259"/>
        <w:ind w:right="0" w:left="0" w:firstLine="0"/>
        <w:jc w:val="left"/>
        <w:rPr>
          <w:rFonts w:ascii="Calibri" w:hAnsi="Calibri" w:cs="Calibri" w:eastAsia="Calibri"/>
          <w:color w:val="0563C1"/>
          <w:spacing w:val="0"/>
          <w:position w:val="0"/>
          <w:sz w:val="22"/>
          <w:u w:val="single"/>
          <w:shd w:fill="auto" w:val="clear"/>
        </w:rPr>
      </w:pPr>
      <w:r>
        <w:rPr>
          <w:rFonts w:ascii="Calibri" w:hAnsi="Calibri" w:cs="Calibri" w:eastAsia="Calibri"/>
          <w:color w:val="auto"/>
          <w:spacing w:val="0"/>
          <w:position w:val="0"/>
          <w:sz w:val="22"/>
          <w:shd w:fill="auto" w:val="clear"/>
        </w:rPr>
        <w:t xml:space="preserve">Dataset: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https://informationisbeautiful.net/visualizations/hollywood-2023-hits-flops/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Fonti: The Numbers e IMDB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Fonti e affidabilità</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 delineare la panoramica del successo cinematografico nel 2023, la visualizzazione si è affidata a due fonti autorevoli: The Numbers e IMDB. The Numbers, un sito specializzato nell'analisi algoritmica delle entrate al botteghino, offre una visione sistematica dell'industria cinematografica. Allo stesso tempo, IMDB, di proprietà della colossale Amazon, costituisce un'esaustiva base di dati che abbraccia film, attori, registi, personale di produzione, recensioni, ecc.…</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Criticità e visualizzazione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visualizzazione crea un affascinante piano cartesiano, con la valutazione IMDB sull'asse x e il budget recuperato sull'asse y. Questo approccio fornisce un quadro immediato delle prestazioni dei film. Tuttavia, è importante notare che la presenza di numerosi film con valutazioni e budget recuperat simili potrebbe complicare l'analisi. L'accumulo di dati potrebbe, infatti, offuscare la chiarezza e la precisione delle conclusioni che possiamo estrarre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Perché la scelta:  </w:t>
        <w:br/>
      </w:r>
      <w:r>
        <w:rPr>
          <w:rFonts w:ascii="Calibri" w:hAnsi="Calibri" w:cs="Calibri" w:eastAsia="Calibri"/>
          <w:color w:val="auto"/>
          <w:spacing w:val="0"/>
          <w:position w:val="0"/>
          <w:sz w:val="22"/>
          <w:shd w:fill="auto" w:val="clear"/>
        </w:rPr>
        <w:t xml:space="preserve"> </w:t>
        <w:br/>
        <w:t xml:space="preserve">tendenze di Mercato Cinematografico: Analizzando i successi e i fallimenti dei film rilasciati nel 2023, è possibile individuare tendenze di mercato. Queste informazioni possono essere utili per gli studios cinematografici nel prendere decisioni strategiche per futuri progetti, come la scelta di generi, attori o registi che sono popolari tra il pubblico.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Investimenti e Redditività</w:t>
      </w:r>
      <w:r>
        <w:rPr>
          <w:rFonts w:ascii="Calibri" w:hAnsi="Calibri" w:cs="Calibri" w:eastAsia="Calibri"/>
          <w:color w:val="auto"/>
          <w:spacing w:val="0"/>
          <w:position w:val="0"/>
          <w:sz w:val="22"/>
          <w:shd w:fill="auto" w:val="clear"/>
        </w:rPr>
        <w:t xml:space="preserve">: Gli studios cinematografici investono considerevoli risorse nella produzione e promozione dei film. Analizzare i dati relativi al successo, al miglioramento e al ritorno sugli investimenti può aiutare a valutare l'efficacia delle strategie di marketing e produzione, nonché a identificare fattori chiave per il successo finanziario.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Previsioni di Tendenze Future:</w:t>
      </w:r>
      <w:r>
        <w:rPr>
          <w:rFonts w:ascii="Calibri" w:hAnsi="Calibri" w:cs="Calibri" w:eastAsia="Calibri"/>
          <w:color w:val="auto"/>
          <w:spacing w:val="0"/>
          <w:position w:val="0"/>
          <w:sz w:val="22"/>
          <w:shd w:fill="auto" w:val="clear"/>
        </w:rPr>
        <w:t xml:space="preserve"> I dati sui film di successo e fallimenti possono essere utilizzati per fare previsioni sulle tendenze future dell'industria cinematografica.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Dataset:</w:t>
      </w: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https://informationisbeautiful.net/visualizations/a24-movie-browser/</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Fonti e criticità</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https://www.the-numbers.com/</w:t>
        </w:r>
      </w:hyperlink>
      <w:r>
        <w:rPr>
          <w:rFonts w:ascii="Calibri" w:hAnsi="Calibri" w:cs="Calibri" w:eastAsia="Calibri"/>
          <w:color w:val="auto"/>
          <w:spacing w:val="0"/>
          <w:position w:val="0"/>
          <w:sz w:val="22"/>
          <w:shd w:fill="auto" w:val="clear"/>
        </w:rPr>
        <w:t xml:space="preserve">  </w:t>
        <w:br/>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https://www.rottentomatoes.com/</w:t>
        </w:r>
      </w:hyperlink>
      <w:r>
        <w:rPr>
          <w:rFonts w:ascii="Calibri" w:hAnsi="Calibri" w:cs="Calibri" w:eastAsia="Calibri"/>
          <w:color w:val="auto"/>
          <w:spacing w:val="0"/>
          <w:position w:val="0"/>
          <w:sz w:val="22"/>
          <w:shd w:fill="auto" w:val="clear"/>
        </w:rPr>
        <w:t xml:space="preserve"> </w:t>
        <w:br/>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https://a24films.com/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 sono varie fonti da cui sono stati presi i dati, soprattutto dal sito ufficiale di A24</w:t>
      </w:r>
      <w:r>
        <w:rPr>
          <w:rFonts w:ascii="Calibri" w:hAnsi="Calibri" w:cs="Calibri" w:eastAsia="Calibri"/>
          <w:color w:val="auto"/>
          <w:spacing w:val="0"/>
          <w:position w:val="0"/>
          <w:sz w:val="22"/>
          <w:u w:val="single"/>
          <w:shd w:fill="auto" w:val="clear"/>
        </w:rPr>
        <w:t xml:space="preserve">, Rotten Tomatoes</w:t>
      </w:r>
      <w:r>
        <w:rPr>
          <w:rFonts w:ascii="Calibri" w:hAnsi="Calibri" w:cs="Calibri" w:eastAsia="Calibri"/>
          <w:color w:val="auto"/>
          <w:spacing w:val="0"/>
          <w:position w:val="0"/>
          <w:sz w:val="22"/>
          <w:shd w:fill="auto" w:val="clear"/>
        </w:rPr>
        <w:t xml:space="preserve"> e </w:t>
      </w:r>
      <w:r>
        <w:rPr>
          <w:rFonts w:ascii="Calibri" w:hAnsi="Calibri" w:cs="Calibri" w:eastAsia="Calibri"/>
          <w:color w:val="auto"/>
          <w:spacing w:val="0"/>
          <w:position w:val="0"/>
          <w:sz w:val="22"/>
          <w:u w:val="single"/>
          <w:shd w:fill="auto" w:val="clear"/>
        </w:rPr>
        <w:t xml:space="preserve">The Numbers</w:t>
      </w:r>
      <w:r>
        <w:rPr>
          <w:rFonts w:ascii="Calibri" w:hAnsi="Calibri" w:cs="Calibri" w:eastAsia="Calibri"/>
          <w:color w:val="auto"/>
          <w:spacing w:val="0"/>
          <w:position w:val="0"/>
          <w:sz w:val="22"/>
          <w:shd w:fill="auto" w:val="clear"/>
        </w:rPr>
        <w:t xml:space="preserve">. Ritengo che la fonte più attendibile sia quella di The Numbers, un sito web contenente dati dell’industria cinematografica che tiene traccia delle entrate al botteghino in modo sistematico e algoritmico. Quindi i dati riguardanti gli incassi sono più attendibili rispetto ai dati resi disponibili da Rotten Tomatoes, che riportano la percentuale di recensioni positive che un film riceve.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Visualizzazione e criticità: </w:t>
      </w:r>
      <w:r>
        <w:rPr>
          <w:rFonts w:ascii="Calibri" w:hAnsi="Calibri" w:cs="Calibri" w:eastAsia="Calibri"/>
          <w:color w:val="auto"/>
          <w:spacing w:val="0"/>
          <w:position w:val="0"/>
          <w:sz w:val="22"/>
          <w:shd w:fill="auto" w:val="clear"/>
        </w:rPr>
        <w:t xml:space="preserve">Una nota negativa di questa visualizzazione può essere la mancanza di ulteriori dati importanti come, ad esempio, l’età media e il paese di origine del pubblico e la differenza quantitativà dei dati suddivisa per i vari generi di film.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nformationisbeautiful.net/visualizations/hollywood-2023-hits-flops/" Id="docRId3" Type="http://schemas.openxmlformats.org/officeDocument/2006/relationships/hyperlink" /><Relationship TargetMode="External" Target="https://a24films.com/" Id="docRId7" Type="http://schemas.openxmlformats.org/officeDocument/2006/relationships/hyperlink" /><Relationship TargetMode="External" Target="https://informationisbeautiful.net/visualizations/how-to-get-the-usa-to-carbon-netzero/#Solar" Id="docRId0" Type="http://schemas.openxmlformats.org/officeDocument/2006/relationships/hyperlink" /><Relationship TargetMode="External" Target="https://philanthropynewsdigest.org/news/ballmer-group-announces-217-million-in-climate-change-commitments#:~:text=Ballmer%20Group%20announces%20%24217%20million%20in%20climate%20change%20commitments,-October%2021%2C%202022&amp;text=Ballmer%20Group%20has%20announced%20an,seven%20grants%20totaling%20%24217%20million" Id="docRId2" Type="http://schemas.openxmlformats.org/officeDocument/2006/relationships/hyperlink" /><Relationship TargetMode="External" Target="https://informationisbeautiful.net/visualizations/a24-movie-browser/" Id="docRId4" Type="http://schemas.openxmlformats.org/officeDocument/2006/relationships/hyperlink" /><Relationship TargetMode="External" Target="https://www.rottentomatoes.com/" Id="docRId6" Type="http://schemas.openxmlformats.org/officeDocument/2006/relationships/hyperlink" /><Relationship Target="numbering.xml" Id="docRId8" Type="http://schemas.openxmlformats.org/officeDocument/2006/relationships/numbering" /><Relationship TargetMode="External" Target="https://usafacts.org/" Id="docRId1" Type="http://schemas.openxmlformats.org/officeDocument/2006/relationships/hyperlink" /><Relationship TargetMode="External" Target="https://www.the-numbers.com/" Id="docRId5" Type="http://schemas.openxmlformats.org/officeDocument/2006/relationships/hyperlink" /><Relationship Target="styles.xml" Id="docRId9" Type="http://schemas.openxmlformats.org/officeDocument/2006/relationships/styles" /></Relationships>
</file>