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rFonts w:ascii="Times New Roman" w:hAnsi="Times New Roman"/>
          <w:b/>
          <w:bCs/>
          <w:sz w:val="24"/>
          <w:szCs w:val="24"/>
          <w:u w:val="none"/>
        </w:rPr>
        <w:t>Matherial and Methods</w:t>
      </w:r>
    </w:p>
    <w:p>
      <w:pPr>
        <w:pStyle w:val="Normal"/>
        <w:rPr>
          <w:rFonts w:ascii="Times New Roman" w:hAnsi="Times New Roman"/>
          <w:sz w:val="24"/>
          <w:szCs w:val="24"/>
          <w:u w:val="none"/>
        </w:rPr>
      </w:pPr>
      <w:r>
        <w:rPr>
          <w:b/>
          <w:bCs/>
        </w:rPr>
      </w:r>
    </w:p>
    <w:p>
      <w:pPr>
        <w:pStyle w:val="Normal"/>
        <w:rPr>
          <w:rFonts w:ascii="Times New Roman" w:hAnsi="Times New Roman"/>
          <w:i/>
          <w:i/>
          <w:iCs/>
          <w:sz w:val="24"/>
          <w:szCs w:val="24"/>
          <w:u w:val="none"/>
        </w:rPr>
      </w:pPr>
      <w:r>
        <w:rPr>
          <w:rFonts w:ascii="Times New Roman" w:hAnsi="Times New Roman"/>
          <w:i/>
          <w:iCs/>
          <w:sz w:val="24"/>
          <w:szCs w:val="24"/>
          <w:u w:val="none"/>
        </w:rPr>
        <w:t>CAETÊ performance evaluation</w:t>
      </w:r>
    </w:p>
    <w:p>
      <w:pPr>
        <w:pStyle w:val="Normal"/>
        <w:rPr>
          <w:rFonts w:ascii="Times New Roman" w:hAnsi="Times New Roman"/>
          <w:i/>
          <w:i/>
          <w:iCs/>
          <w:sz w:val="24"/>
          <w:szCs w:val="24"/>
          <w:u w:val="none"/>
        </w:rPr>
      </w:pPr>
      <w:r>
        <w:rPr>
          <w:rFonts w:ascii="Times New Roman" w:hAnsi="Times New Roman"/>
          <w:i/>
          <w:iCs/>
          <w:sz w:val="24"/>
          <w:szCs w:val="24"/>
          <w:u w:val="none"/>
        </w:rPr>
      </w:r>
    </w:p>
    <w:p>
      <w:pPr>
        <w:pStyle w:val="Normal"/>
        <w:spacing w:lineRule="auto" w:line="480"/>
        <w:jc w:val="both"/>
        <w:rPr/>
      </w:pPr>
      <w:r>
        <w:rPr>
          <w:rFonts w:ascii="Times New Roman" w:hAnsi="Times New Roman"/>
          <w:sz w:val="24"/>
          <w:szCs w:val="24"/>
          <w:u w:val="none"/>
        </w:rPr>
        <w:t xml:space="preserve">In order to evaluate the performance of the two CAETÊ approaches in represent the spatial distribution of vegetation carbon storage and NPP we compared the model results with established </w:t>
      </w:r>
      <w:r>
        <w:rPr>
          <w:rFonts w:ascii="Times New Roman" w:hAnsi="Times New Roman"/>
          <w:sz w:val="24"/>
          <w:szCs w:val="24"/>
          <w:u w:val="none"/>
          <w:lang w:val="en-US"/>
        </w:rPr>
        <w:t xml:space="preserve">maps available in literature and databases through linear regression and by computing the absolute difference between CAETÊ’s and reference’s maps. For carbon storage it was used Baccini et al. (2012) and Saatchi et al. (2011) maps, and for NPP the map produced by MODIS NPP Project (MOD17A3; data available at http://www.ntsg.umt.edu/project/mod17). </w:t>
      </w:r>
    </w:p>
    <w:p>
      <w:pPr>
        <w:pStyle w:val="Normal"/>
        <w:spacing w:lineRule="auto" w:line="480"/>
        <w:jc w:val="both"/>
        <w:rPr>
          <w:b w:val="false"/>
          <w:b w:val="false"/>
          <w:bCs w:val="false"/>
        </w:rPr>
      </w:pPr>
      <w:r>
        <w:rPr>
          <w:rFonts w:ascii="Times New Roman" w:hAnsi="Times New Roman"/>
          <w:b w:val="false"/>
          <w:bCs w:val="false"/>
          <w:sz w:val="24"/>
          <w:szCs w:val="24"/>
          <w:u w:val="none"/>
          <w:lang w:val="en-US"/>
        </w:rPr>
        <w:t>For carbon storage only the aboveground carbon was considered (leaves and aboveground woody tissues) since for Baccini’s map the available data comprises this vegetation portion and Saatchi’s map estimated belowground biomass through allometric equations. Besides, the reference maps represent living biomass instead of carbon content (as simulated by CAETÊ) in that sense, for the purpose of comparison we considered a carbon percentage of 47.5% in living biomass (THOMAS; MARTIN, 2012).</w:t>
      </w:r>
    </w:p>
    <w:p>
      <w:pPr>
        <w:pStyle w:val="Normal"/>
        <w:spacing w:lineRule="auto" w:line="480"/>
        <w:jc w:val="both"/>
        <w:rPr>
          <w:b w:val="false"/>
          <w:b w:val="false"/>
          <w:bCs w:val="false"/>
        </w:rPr>
      </w:pPr>
      <w:r>
        <w:rPr>
          <w:rFonts w:ascii="Times New Roman" w:hAnsi="Times New Roman"/>
          <w:b w:val="false"/>
          <w:bCs w:val="false"/>
          <w:sz w:val="24"/>
          <w:szCs w:val="24"/>
          <w:u w:val="none"/>
          <w:lang w:val="en-US"/>
        </w:rPr>
        <w:t xml:space="preserve">Furthermore, we also compared CAETÊ results regarding carbon storage and NPP with </w:t>
      </w:r>
      <w:r>
        <w:rPr>
          <w:rFonts w:ascii="Times New Roman" w:hAnsi="Times New Roman"/>
          <w:b w:val="false"/>
          <w:bCs w:val="false"/>
          <w:i/>
          <w:iCs/>
          <w:sz w:val="24"/>
          <w:szCs w:val="24"/>
          <w:u w:val="none"/>
          <w:lang w:val="en-US"/>
        </w:rPr>
        <w:t>in situ</w:t>
      </w:r>
      <w:r>
        <w:rPr>
          <w:rFonts w:ascii="Times New Roman" w:hAnsi="Times New Roman"/>
          <w:b w:val="false"/>
          <w:bCs w:val="false"/>
          <w:i w:val="false"/>
          <w:iCs w:val="false"/>
          <w:sz w:val="24"/>
          <w:szCs w:val="24"/>
          <w:u w:val="none"/>
          <w:lang w:val="en-US"/>
        </w:rPr>
        <w:t xml:space="preserve"> measurements available in literature (Table </w:t>
      </w:r>
      <w:r>
        <w:rPr>
          <w:rFonts w:ascii="Times New Roman" w:hAnsi="Times New Roman"/>
          <w:b w:val="false"/>
          <w:bCs w:val="false"/>
          <w:i w:val="false"/>
          <w:iCs w:val="false"/>
          <w:sz w:val="24"/>
          <w:szCs w:val="24"/>
          <w:highlight w:val="yellow"/>
          <w:u w:val="none"/>
          <w:lang w:val="en-US"/>
        </w:rPr>
        <w:t>SMXX</w:t>
      </w:r>
      <w:r>
        <w:rPr>
          <w:rFonts w:ascii="Times New Roman" w:hAnsi="Times New Roman"/>
          <w:b w:val="false"/>
          <w:bCs w:val="false"/>
          <w:i w:val="false"/>
          <w:iCs w:val="false"/>
          <w:sz w:val="24"/>
          <w:szCs w:val="24"/>
          <w:u w:val="none"/>
          <w:lang w:val="en-US"/>
        </w:rPr>
        <w:t xml:space="preserve"> and Table </w:t>
      </w:r>
      <w:r>
        <w:rPr>
          <w:rFonts w:ascii="Times New Roman" w:hAnsi="Times New Roman"/>
          <w:b w:val="false"/>
          <w:bCs w:val="false"/>
          <w:i w:val="false"/>
          <w:iCs w:val="false"/>
          <w:sz w:val="24"/>
          <w:szCs w:val="24"/>
          <w:highlight w:val="yellow"/>
          <w:u w:val="none"/>
          <w:lang w:val="en-US"/>
        </w:rPr>
        <w:t>SMXX</w:t>
      </w:r>
      <w:r>
        <w:rPr>
          <w:rFonts w:ascii="Times New Roman" w:hAnsi="Times New Roman"/>
          <w:b w:val="false"/>
          <w:bCs w:val="false"/>
          <w:i w:val="false"/>
          <w:iCs w:val="false"/>
          <w:sz w:val="24"/>
          <w:szCs w:val="24"/>
          <w:u w:val="none"/>
          <w:lang w:val="en-US"/>
        </w:rPr>
        <w:t>, respectively) throughout the study area (</w:t>
      </w:r>
      <w:r>
        <w:rPr>
          <w:rFonts w:ascii="Times New Roman" w:hAnsi="Times New Roman"/>
          <w:b w:val="false"/>
          <w:bCs w:val="false"/>
          <w:i w:val="false"/>
          <w:iCs w:val="false"/>
          <w:sz w:val="24"/>
          <w:szCs w:val="24"/>
          <w:highlight w:val="yellow"/>
          <w:u w:val="none"/>
          <w:lang w:val="en-US"/>
        </w:rPr>
        <w:t>Figure SMXXX</w:t>
      </w:r>
      <w:r>
        <w:rPr>
          <w:rFonts w:ascii="Times New Roman" w:hAnsi="Times New Roman"/>
          <w:b w:val="false"/>
          <w:bCs w:val="false"/>
          <w:i w:val="false"/>
          <w:iCs w:val="false"/>
          <w:sz w:val="24"/>
          <w:szCs w:val="24"/>
          <w:u w:val="none"/>
          <w:lang w:val="en-US"/>
        </w:rPr>
        <w:t>). The comparison was made using linear regression. For coordinates where more than one measurement the mean value was considered. When the data corresponded to living biomass, only 47.5% of the value was considered (Thomas &amp; Martin, 2012).</w:t>
      </w:r>
    </w:p>
    <w:p>
      <w:pPr>
        <w:pStyle w:val="Normal"/>
        <w:rPr/>
      </w:pPr>
      <w:r>
        <w:rPr>
          <w:rFonts w:ascii="Times New Roman" w:hAnsi="Times New Roman"/>
          <w:b/>
          <w:bCs/>
          <w:sz w:val="24"/>
          <w:szCs w:val="24"/>
          <w:u w:val="none"/>
        </w:rPr>
        <w:t>Results</w:t>
      </w:r>
    </w:p>
    <w:p>
      <w:pPr>
        <w:pStyle w:val="Normal"/>
        <w:rPr>
          <w:rFonts w:ascii="Times New Roman" w:hAnsi="Times New Roman"/>
          <w:b/>
          <w:b/>
          <w:bCs/>
          <w:sz w:val="24"/>
          <w:szCs w:val="24"/>
          <w:u w:val="none"/>
        </w:rPr>
      </w:pPr>
      <w:r>
        <w:rPr/>
      </w:r>
    </w:p>
    <w:p>
      <w:pPr>
        <w:pStyle w:val="Normal"/>
        <w:rPr>
          <w:i/>
          <w:i/>
          <w:iCs/>
          <w:u w:val="none"/>
        </w:rPr>
      </w:pPr>
      <w:r>
        <w:rPr>
          <w:rFonts w:ascii="Times New Roman" w:hAnsi="Times New Roman"/>
          <w:b w:val="false"/>
          <w:bCs w:val="false"/>
          <w:i/>
          <w:iCs/>
          <w:sz w:val="24"/>
          <w:szCs w:val="24"/>
          <w:u w:val="none"/>
        </w:rPr>
        <w:t>Evaluating CAETE performance</w:t>
      </w:r>
    </w:p>
    <w:p>
      <w:pPr>
        <w:pStyle w:val="Normal"/>
        <w:rPr>
          <w:rFonts w:ascii="Times New Roman" w:hAnsi="Times New Roman"/>
          <w:b w:val="false"/>
          <w:b w:val="false"/>
          <w:bCs w:val="false"/>
          <w:sz w:val="24"/>
          <w:szCs w:val="24"/>
        </w:rPr>
      </w:pPr>
      <w:r>
        <w:rPr>
          <w:i/>
          <w:iCs/>
          <w:u w:val="none"/>
        </w:rPr>
      </w:r>
    </w:p>
    <w:p>
      <w:pPr>
        <w:pStyle w:val="Normal"/>
        <w:rPr>
          <w:i/>
          <w:i/>
          <w:iCs/>
          <w:u w:val="none"/>
        </w:rPr>
      </w:pPr>
      <w:r>
        <w:rPr>
          <w:rFonts w:ascii="Times New Roman" w:hAnsi="Times New Roman"/>
          <w:b w:val="false"/>
          <w:bCs w:val="false"/>
          <w:i/>
          <w:iCs/>
          <w:sz w:val="24"/>
          <w:szCs w:val="24"/>
          <w:u w:val="none"/>
        </w:rPr>
        <w:t>Aboveground carbon storage</w:t>
      </w:r>
    </w:p>
    <w:p>
      <w:pPr>
        <w:pStyle w:val="Normal"/>
        <w:rPr>
          <w:rFonts w:ascii="Times New Roman" w:hAnsi="Times New Roman"/>
          <w:b w:val="false"/>
          <w:b w:val="false"/>
          <w:bCs w:val="false"/>
          <w:sz w:val="24"/>
          <w:szCs w:val="24"/>
          <w:u w:val="single"/>
        </w:rPr>
      </w:pPr>
      <w:r>
        <w:rPr>
          <w:rFonts w:ascii="Times New Roman" w:hAnsi="Times New Roman"/>
          <w:b w:val="false"/>
          <w:bCs w:val="false"/>
          <w:sz w:val="24"/>
          <w:szCs w:val="24"/>
          <w:u w:val="single"/>
        </w:rPr>
      </w:r>
    </w:p>
    <w:p>
      <w:pPr>
        <w:pStyle w:val="Normal"/>
        <w:spacing w:lineRule="auto" w:line="480"/>
        <w:jc w:val="both"/>
        <w:rPr>
          <w:rFonts w:ascii="Times New Roman" w:hAnsi="Times New Roman"/>
          <w:b w:val="false"/>
          <w:b w:val="false"/>
          <w:bCs w:val="false"/>
          <w:sz w:val="24"/>
          <w:szCs w:val="24"/>
          <w:u w:val="none"/>
        </w:rPr>
      </w:pPr>
      <w:commentRangeStart w:id="0"/>
      <w:r>
        <w:rPr>
          <w:rFonts w:ascii="Times New Roman" w:hAnsi="Times New Roman"/>
          <w:b w:val="false"/>
          <w:bCs w:val="false"/>
          <w:sz w:val="24"/>
          <w:szCs w:val="24"/>
          <w:u w:val="none"/>
        </w:rPr>
        <w:t>Figure XX</w:t>
      </w:r>
      <w:r>
        <w:rPr>
          <w:rFonts w:ascii="Times New Roman" w:hAnsi="Times New Roman"/>
          <w:b w:val="false"/>
          <w:bCs w:val="false"/>
          <w:sz w:val="24"/>
          <w:szCs w:val="24"/>
          <w:u w:val="none"/>
        </w:rPr>
      </w:r>
      <w:commentRangeEnd w:id="0"/>
      <w:r>
        <w:commentReference w:id="0"/>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xml:space="preserve">(a, b and d, e) </w:t>
      </w:r>
      <w:r>
        <w:rPr>
          <w:rFonts w:ascii="Times New Roman" w:hAnsi="Times New Roman"/>
          <w:b w:val="false"/>
          <w:bCs w:val="false"/>
          <w:sz w:val="24"/>
          <w:szCs w:val="24"/>
          <w:u w:val="none"/>
        </w:rPr>
        <w:t xml:space="preserve"> show the spatial distribution of abo</w:t>
      </w:r>
      <w:r>
        <w:rPr>
          <w:rFonts w:ascii="Times New Roman" w:hAnsi="Times New Roman"/>
          <w:b w:val="false"/>
          <w:bCs w:val="false"/>
          <w:sz w:val="24"/>
          <w:szCs w:val="24"/>
          <w:u w:val="none"/>
        </w:rPr>
        <w:t>veg</w:t>
      </w:r>
      <w:r>
        <w:rPr>
          <w:rFonts w:ascii="Times New Roman" w:hAnsi="Times New Roman"/>
          <w:b w:val="false"/>
          <w:bCs w:val="false"/>
          <w:sz w:val="24"/>
          <w:szCs w:val="24"/>
          <w:u w:val="none"/>
        </w:rPr>
        <w:t xml:space="preserve">round carbon storage comparison </w:t>
      </w:r>
      <w:r>
        <w:rPr>
          <w:rFonts w:ascii="Times New Roman" w:hAnsi="Times New Roman"/>
          <w:b w:val="false"/>
          <w:bCs w:val="false"/>
          <w:sz w:val="24"/>
          <w:szCs w:val="24"/>
          <w:u w:val="none"/>
        </w:rPr>
        <w:t xml:space="preserve">between the CAETÊ simulation in its two approaches </w:t>
      </w:r>
      <w:r>
        <w:rPr>
          <w:rFonts w:ascii="Times New Roman" w:hAnsi="Times New Roman"/>
          <w:b w:val="false"/>
          <w:bCs w:val="false"/>
          <w:sz w:val="24"/>
          <w:szCs w:val="24"/>
          <w:u w:val="none"/>
        </w:rPr>
        <w:t xml:space="preserve">and </w:t>
      </w:r>
      <w:r>
        <w:rPr>
          <w:rFonts w:ascii="Times New Roman" w:hAnsi="Times New Roman"/>
          <w:b w:val="false"/>
          <w:bCs w:val="false"/>
          <w:sz w:val="24"/>
          <w:szCs w:val="24"/>
          <w:u w:val="none"/>
        </w:rPr>
        <w:t xml:space="preserve">the </w:t>
      </w:r>
      <w:r>
        <w:rPr>
          <w:rFonts w:ascii="Times New Roman" w:hAnsi="Times New Roman"/>
          <w:b w:val="false"/>
          <w:bCs w:val="false"/>
          <w:sz w:val="24"/>
          <w:szCs w:val="24"/>
          <w:u w:val="none"/>
        </w:rPr>
        <w:t xml:space="preserve">two reference maps, </w:t>
      </w:r>
      <w:r>
        <w:rPr>
          <w:rFonts w:ascii="Times New Roman" w:hAnsi="Times New Roman"/>
          <w:b w:val="false"/>
          <w:bCs w:val="false"/>
          <w:sz w:val="24"/>
          <w:szCs w:val="24"/>
          <w:u w:val="none"/>
        </w:rPr>
        <w:t>Saatchi et al., (2011) and Baccini et al. (2012). We also show in Figure XX (c, f) the relation of grid-cell mean values for this variable between the modeled and the references</w:t>
      </w:r>
      <w:r>
        <w:rPr>
          <w:rFonts w:ascii="Times New Roman" w:hAnsi="Times New Roman"/>
          <w:b w:val="false"/>
          <w:bCs w:val="false"/>
          <w:sz w:val="24"/>
          <w:szCs w:val="24"/>
          <w:u w:val="none"/>
        </w:rPr>
        <w:t>.</w:t>
      </w:r>
    </w:p>
    <w:p>
      <w:pPr>
        <w:pStyle w:val="Normal"/>
        <w:spacing w:lineRule="auto" w:line="480"/>
        <w:jc w:val="both"/>
        <w:rPr/>
      </w:pPr>
      <w:r>
        <w:rPr>
          <w:rFonts w:ascii="Times New Roman" w:hAnsi="Times New Roman"/>
          <w:b w:val="false"/>
          <w:bCs w:val="false"/>
          <w:sz w:val="24"/>
          <w:szCs w:val="24"/>
          <w:u w:val="none"/>
        </w:rPr>
        <w:t xml:space="preserve">Both CAETÊ approaches show regions where the carbon stock is over </w:t>
      </w:r>
      <w:r>
        <w:rPr>
          <w:rFonts w:ascii="Times New Roman" w:hAnsi="Times New Roman"/>
          <w:b w:val="false"/>
          <w:bCs w:val="false"/>
          <w:sz w:val="24"/>
          <w:szCs w:val="24"/>
          <w:u w:val="none"/>
        </w:rPr>
        <w:t>or</w:t>
      </w:r>
      <w:r>
        <w:rPr>
          <w:rFonts w:ascii="Times New Roman" w:hAnsi="Times New Roman"/>
          <w:b w:val="false"/>
          <w:bCs w:val="false"/>
          <w:sz w:val="24"/>
          <w:szCs w:val="24"/>
          <w:u w:val="none"/>
        </w:rPr>
        <w:t xml:space="preserve"> underestimated </w:t>
      </w:r>
      <w:r>
        <w:rPr>
          <w:rFonts w:ascii="Times New Roman" w:hAnsi="Times New Roman"/>
          <w:b w:val="false"/>
          <w:bCs w:val="false"/>
          <w:sz w:val="24"/>
          <w:szCs w:val="24"/>
          <w:u w:val="none"/>
        </w:rPr>
        <w:t xml:space="preserve">compared to </w:t>
      </w:r>
      <w:r>
        <w:rPr>
          <w:rFonts w:ascii="Times New Roman" w:hAnsi="Times New Roman"/>
          <w:b w:val="false"/>
          <w:bCs w:val="false"/>
          <w:sz w:val="24"/>
          <w:szCs w:val="24"/>
          <w:u w:val="none"/>
        </w:rPr>
        <w:t>estimations,</w:t>
      </w:r>
      <w:r>
        <w:rPr>
          <w:rFonts w:ascii="Times New Roman" w:hAnsi="Times New Roman"/>
          <w:b w:val="false"/>
          <w:bCs w:val="false"/>
          <w:sz w:val="24"/>
          <w:szCs w:val="24"/>
          <w:u w:val="none"/>
        </w:rPr>
        <w:t xml:space="preserve"> what can be seen both in </w:t>
      </w:r>
      <w:r>
        <w:rPr>
          <w:rFonts w:ascii="Times New Roman" w:hAnsi="Times New Roman"/>
          <w:b w:val="false"/>
          <w:bCs w:val="false"/>
          <w:sz w:val="24"/>
          <w:szCs w:val="24"/>
          <w:u w:val="none"/>
        </w:rPr>
        <w:t xml:space="preserve">the </w:t>
      </w:r>
      <w:r>
        <w:rPr>
          <w:rFonts w:ascii="Times New Roman" w:hAnsi="Times New Roman"/>
          <w:b w:val="false"/>
          <w:bCs w:val="false"/>
          <w:sz w:val="24"/>
          <w:szCs w:val="24"/>
          <w:u w:val="none"/>
        </w:rPr>
        <w:t xml:space="preserve">comparison maps and </w:t>
      </w:r>
      <w:r>
        <w:rPr>
          <w:rFonts w:ascii="Times New Roman" w:hAnsi="Times New Roman"/>
          <w:b w:val="false"/>
          <w:bCs w:val="false"/>
          <w:sz w:val="24"/>
          <w:szCs w:val="24"/>
          <w:u w:val="none"/>
        </w:rPr>
        <w:t xml:space="preserve">the </w:t>
      </w:r>
      <w:r>
        <w:rPr>
          <w:rFonts w:ascii="Times New Roman" w:hAnsi="Times New Roman"/>
          <w:b w:val="false"/>
          <w:bCs w:val="false"/>
          <w:sz w:val="24"/>
          <w:szCs w:val="24"/>
          <w:u w:val="none"/>
        </w:rPr>
        <w:t xml:space="preserve">correlation graphs. </w:t>
      </w:r>
      <w:r>
        <w:rPr>
          <w:rFonts w:ascii="Times New Roman" w:hAnsi="Times New Roman"/>
          <w:b w:val="false"/>
          <w:bCs w:val="false"/>
          <w:sz w:val="24"/>
          <w:szCs w:val="24"/>
          <w:u w:val="none"/>
        </w:rPr>
        <w:t xml:space="preserve">PFTA tends to overestimate carbon stock </w:t>
      </w:r>
      <w:r>
        <w:rPr>
          <w:rFonts w:ascii="Times New Roman" w:hAnsi="Times New Roman"/>
          <w:b w:val="false"/>
          <w:bCs w:val="false"/>
          <w:sz w:val="24"/>
          <w:szCs w:val="24"/>
          <w:u w:val="none"/>
        </w:rPr>
        <w:t xml:space="preserve">in most of Amazon basin, mainly </w:t>
      </w:r>
      <w:r>
        <w:rPr>
          <w:lang w:val="en-US"/>
        </w:rPr>
        <w:t xml:space="preserve">in the central region </w:t>
      </w:r>
      <w:r>
        <w:rPr>
          <w:lang w:val="en-US"/>
        </w:rPr>
        <w:t xml:space="preserve">and at the basin </w:t>
      </w:r>
      <w:r>
        <w:rPr>
          <w:lang w:val="en-US"/>
        </w:rPr>
        <w:t>edges, hence, in general</w:t>
      </w:r>
      <w:r>
        <w:rPr>
          <w:lang w:val="en-US"/>
        </w:rPr>
        <w:t>, PFTA</w:t>
      </w:r>
      <w:r>
        <w:rPr>
          <w:rFonts w:ascii="Times New Roman" w:hAnsi="Times New Roman"/>
          <w:b w:val="false"/>
          <w:bCs w:val="false"/>
          <w:sz w:val="24"/>
          <w:szCs w:val="24"/>
          <w:u w:val="none"/>
        </w:rPr>
        <w:t xml:space="preserve"> show</w:t>
      </w:r>
      <w:r>
        <w:rPr>
          <w:rFonts w:ascii="Times New Roman" w:hAnsi="Times New Roman"/>
          <w:b w:val="false"/>
          <w:bCs w:val="false"/>
          <w:sz w:val="24"/>
          <w:szCs w:val="24"/>
          <w:u w:val="none"/>
        </w:rPr>
        <w:t>s</w:t>
      </w:r>
      <w:r>
        <w:rPr>
          <w:rFonts w:ascii="Times New Roman" w:hAnsi="Times New Roman"/>
          <w:b w:val="false"/>
          <w:bCs w:val="false"/>
          <w:sz w:val="24"/>
          <w:szCs w:val="24"/>
          <w:u w:val="none"/>
        </w:rPr>
        <w:t xml:space="preserve"> low agreement and large discrepancies in the range of values relatively to the data used as reference.</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In its turn T</w:t>
      </w:r>
      <w:r>
        <w:rPr>
          <w:rFonts w:ascii="Times New Roman" w:hAnsi="Times New Roman"/>
          <w:b w:val="false"/>
          <w:bCs w:val="false"/>
          <w:sz w:val="24"/>
          <w:szCs w:val="24"/>
          <w:u w:val="none"/>
          <w:lang w:val="en-US"/>
        </w:rPr>
        <w:t xml:space="preserve">BA presents </w:t>
      </w:r>
      <w:r>
        <w:rPr>
          <w:rFonts w:ascii="Times New Roman" w:hAnsi="Times New Roman"/>
          <w:b w:val="false"/>
          <w:bCs w:val="false"/>
          <w:sz w:val="24"/>
          <w:szCs w:val="24"/>
          <w:u w:val="none"/>
          <w:lang w:val="en-US"/>
        </w:rPr>
        <w:t xml:space="preserve">better agreement </w:t>
      </w:r>
      <w:r>
        <w:rPr>
          <w:rFonts w:ascii="Times New Roman" w:hAnsi="Times New Roman"/>
          <w:b w:val="false"/>
          <w:bCs w:val="false"/>
          <w:sz w:val="24"/>
          <w:szCs w:val="24"/>
          <w:u w:val="none"/>
          <w:lang w:val="en-US"/>
        </w:rPr>
        <w:t xml:space="preserve">with </w:t>
      </w:r>
      <w:r>
        <w:rPr>
          <w:rFonts w:ascii="Times New Roman" w:hAnsi="Times New Roman"/>
          <w:b w:val="false"/>
          <w:bCs w:val="false"/>
          <w:sz w:val="24"/>
          <w:szCs w:val="24"/>
          <w:u w:val="none"/>
          <w:lang w:val="en-US"/>
        </w:rPr>
        <w:t>references,</w:t>
      </w:r>
      <w:r>
        <w:rPr>
          <w:rFonts w:ascii="Times New Roman" w:hAnsi="Times New Roman"/>
          <w:b w:val="false"/>
          <w:bCs w:val="false"/>
          <w:sz w:val="24"/>
          <w:szCs w:val="24"/>
          <w:u w:val="none"/>
          <w:lang w:val="en-US"/>
        </w:rPr>
        <w:t xml:space="preserve"> matching the observed values reasonably well, </w:t>
      </w:r>
      <w:r>
        <w:rPr>
          <w:rFonts w:ascii="Times New Roman" w:hAnsi="Times New Roman"/>
          <w:b w:val="false"/>
          <w:bCs w:val="false"/>
          <w:sz w:val="24"/>
          <w:szCs w:val="24"/>
          <w:u w:val="none"/>
          <w:lang w:val="en-US"/>
        </w:rPr>
        <w:t xml:space="preserve">presenting more areas of total concordance (white cells in Fig. XXa and d) as well as </w:t>
      </w:r>
      <w:r>
        <w:rPr>
          <w:rFonts w:ascii="Times New Roman" w:hAnsi="Times New Roman"/>
          <w:b w:val="false"/>
          <w:bCs w:val="false"/>
          <w:sz w:val="24"/>
          <w:szCs w:val="24"/>
          <w:u w:val="none"/>
          <w:lang w:val="en-US"/>
        </w:rPr>
        <w:t>higher amount of points approximating to the 1:1 line (Fig. XX c and f)</w:t>
      </w:r>
      <w:r>
        <w:rPr>
          <w:rFonts w:ascii="Times New Roman" w:hAnsi="Times New Roman"/>
          <w:b w:val="false"/>
          <w:bCs w:val="false"/>
          <w:sz w:val="24"/>
          <w:szCs w:val="24"/>
          <w:u w:val="none"/>
          <w:lang w:val="en-US"/>
        </w:rPr>
        <w:t>.</w:t>
      </w:r>
      <w:r>
        <w:rPr>
          <w:rFonts w:ascii="Times New Roman" w:hAnsi="Times New Roman"/>
          <w:b w:val="false"/>
          <w:bCs w:val="false"/>
          <w:sz w:val="24"/>
          <w:szCs w:val="24"/>
          <w:u w:val="none"/>
          <w:lang w:val="en-US"/>
        </w:rPr>
        <w:t xml:space="preserve"> </w:t>
      </w:r>
      <w:r>
        <w:rPr>
          <w:rFonts w:ascii="Times New Roman" w:hAnsi="Times New Roman"/>
          <w:b w:val="false"/>
          <w:bCs w:val="false"/>
          <w:sz w:val="24"/>
          <w:szCs w:val="24"/>
          <w:u w:val="none"/>
          <w:lang w:val="en-US"/>
        </w:rPr>
        <w:t xml:space="preserve">However, where </w:t>
      </w:r>
      <w:r>
        <w:rPr>
          <w:rFonts w:ascii="Times New Roman" w:hAnsi="Times New Roman"/>
          <w:b w:val="false"/>
          <w:bCs w:val="false"/>
          <w:sz w:val="24"/>
          <w:szCs w:val="24"/>
          <w:u w:val="none"/>
          <w:lang w:val="en-US"/>
        </w:rPr>
        <w:t xml:space="preserve">TBA simulation doesn't totally match with the estimation by Saatchi et al., (2011) and Baccini et al., 2011) it tends to subestimate mean carbon values for example in the east and southwest of the basin. </w:t>
      </w:r>
      <w:r>
        <w:rPr>
          <w:rFonts w:ascii="Times New Roman" w:hAnsi="Times New Roman"/>
          <w:b w:val="false"/>
          <w:bCs w:val="false"/>
          <w:sz w:val="24"/>
          <w:szCs w:val="24"/>
          <w:u w:val="none"/>
          <w:lang w:val="en-US"/>
        </w:rPr>
        <w:t>T</w:t>
      </w:r>
      <w:r>
        <w:rPr>
          <w:rFonts w:ascii="Times New Roman" w:hAnsi="Times New Roman"/>
          <w:b w:val="false"/>
          <w:bCs w:val="false"/>
          <w:sz w:val="24"/>
          <w:szCs w:val="24"/>
          <w:u w:val="none"/>
          <w:lang w:val="en-US"/>
        </w:rPr>
        <w:t xml:space="preserve">he same way as for </w:t>
      </w:r>
      <w:r>
        <w:rPr>
          <w:rFonts w:ascii="Times New Roman" w:hAnsi="Times New Roman"/>
          <w:b w:val="false"/>
          <w:bCs w:val="false"/>
          <w:sz w:val="24"/>
          <w:szCs w:val="24"/>
          <w:u w:val="none"/>
          <w:lang w:val="en-US"/>
        </w:rPr>
        <w:t>PFTA</w:t>
      </w:r>
      <w:r>
        <w:rPr>
          <w:rFonts w:ascii="Times New Roman" w:hAnsi="Times New Roman"/>
          <w:b w:val="false"/>
          <w:bCs w:val="false"/>
          <w:sz w:val="24"/>
          <w:szCs w:val="24"/>
          <w:u w:val="none"/>
        </w:rPr>
        <w:t>, TBA</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overestimat</w:t>
      </w:r>
      <w:r>
        <w:rPr>
          <w:rFonts w:ascii="Times New Roman" w:hAnsi="Times New Roman"/>
          <w:b w:val="false"/>
          <w:bCs w:val="false"/>
          <w:sz w:val="24"/>
          <w:szCs w:val="24"/>
          <w:u w:val="none"/>
        </w:rPr>
        <w:t>es carbon stocks</w:t>
      </w:r>
      <w:r>
        <w:rPr>
          <w:rFonts w:ascii="Times New Roman" w:hAnsi="Times New Roman"/>
          <w:b w:val="false"/>
          <w:bCs w:val="false"/>
          <w:sz w:val="24"/>
          <w:szCs w:val="24"/>
          <w:u w:val="none"/>
        </w:rPr>
        <w:t xml:space="preserve"> mainly </w:t>
      </w:r>
      <w:r>
        <w:rPr>
          <w:rFonts w:ascii="Times New Roman" w:hAnsi="Times New Roman"/>
          <w:b w:val="false"/>
          <w:bCs w:val="false"/>
          <w:sz w:val="24"/>
          <w:szCs w:val="24"/>
          <w:u w:val="none"/>
          <w:lang w:val="en-US"/>
        </w:rPr>
        <w:t xml:space="preserve">at the edges of the </w:t>
      </w:r>
      <w:r>
        <w:rPr>
          <w:rFonts w:ascii="Times New Roman" w:hAnsi="Times New Roman"/>
          <w:b w:val="false"/>
          <w:bCs w:val="false"/>
          <w:sz w:val="24"/>
          <w:szCs w:val="24"/>
          <w:u w:val="none"/>
          <w:lang w:val="en-US"/>
        </w:rPr>
        <w:t>studied region.</w:t>
      </w:r>
      <w:r>
        <w:rPr>
          <w:rFonts w:ascii="Times New Roman" w:hAnsi="Times New Roman"/>
          <w:b w:val="false"/>
          <w:bCs w:val="false"/>
          <w:sz w:val="24"/>
          <w:szCs w:val="24"/>
          <w:u w:val="none"/>
          <w:lang w:val="en-US"/>
        </w:rPr>
        <w:t xml:space="preserve">Amazon basin. </w:t>
      </w:r>
      <w:r>
        <w:rPr>
          <w:rFonts w:ascii="Times New Roman" w:hAnsi="Times New Roman"/>
          <w:b w:val="false"/>
          <w:bCs w:val="false"/>
          <w:sz w:val="24"/>
          <w:szCs w:val="24"/>
          <w:u w:val="none"/>
          <w:lang w:val="en-US"/>
        </w:rPr>
        <w:t>T</w:t>
      </w:r>
      <w:r>
        <w:rPr>
          <w:rFonts w:ascii="Times New Roman" w:hAnsi="Times New Roman"/>
          <w:b w:val="false"/>
          <w:bCs w:val="false"/>
          <w:sz w:val="24"/>
          <w:szCs w:val="24"/>
          <w:u w:val="none"/>
          <w:lang w:val="en-US"/>
        </w:rPr>
        <w:t xml:space="preserve">he spatial pattern </w:t>
      </w:r>
      <w:r>
        <w:rPr>
          <w:rFonts w:ascii="Times New Roman" w:hAnsi="Times New Roman"/>
          <w:b w:val="false"/>
          <w:bCs w:val="false"/>
          <w:sz w:val="24"/>
          <w:szCs w:val="24"/>
          <w:u w:val="none"/>
          <w:lang w:val="en-US"/>
        </w:rPr>
        <w:t xml:space="preserve">comparison </w:t>
      </w:r>
      <w:r>
        <w:rPr>
          <w:rFonts w:ascii="Times New Roman" w:hAnsi="Times New Roman"/>
          <w:b w:val="false"/>
          <w:bCs w:val="false"/>
          <w:sz w:val="24"/>
          <w:szCs w:val="24"/>
          <w:u w:val="none"/>
          <w:lang w:val="en-US"/>
        </w:rPr>
        <w:t>previously described repeat</w:t>
      </w:r>
      <w:r>
        <w:rPr>
          <w:rFonts w:ascii="Times New Roman" w:hAnsi="Times New Roman"/>
          <w:b w:val="false"/>
          <w:bCs w:val="false"/>
          <w:sz w:val="24"/>
          <w:szCs w:val="24"/>
          <w:u w:val="none"/>
          <w:lang w:val="en-US"/>
        </w:rPr>
        <w:t>s</w:t>
      </w:r>
      <w:r>
        <w:rPr>
          <w:rFonts w:ascii="Times New Roman" w:hAnsi="Times New Roman"/>
          <w:b w:val="false"/>
          <w:bCs w:val="false"/>
          <w:sz w:val="24"/>
          <w:szCs w:val="24"/>
          <w:u w:val="none"/>
          <w:lang w:val="en-US"/>
        </w:rPr>
        <w:t xml:space="preserve"> for both reference maps, </w:t>
      </w:r>
      <w:r>
        <w:rPr>
          <w:rFonts w:ascii="Times New Roman" w:hAnsi="Times New Roman"/>
          <w:b w:val="false"/>
          <w:bCs w:val="false"/>
          <w:sz w:val="24"/>
          <w:szCs w:val="24"/>
          <w:u w:val="none"/>
          <w:lang w:val="en-US"/>
        </w:rPr>
        <w:t>although CAETÊ simulations better agree with</w:t>
      </w:r>
      <w:r>
        <w:rPr>
          <w:rFonts w:ascii="Times New Roman" w:hAnsi="Times New Roman"/>
          <w:b w:val="false"/>
          <w:bCs w:val="false"/>
          <w:sz w:val="24"/>
          <w:szCs w:val="24"/>
          <w:u w:val="none"/>
          <w:lang w:val="en-US"/>
        </w:rPr>
        <w:t xml:space="preserve"> Baccini’s map </w:t>
      </w:r>
      <w:r>
        <w:rPr>
          <w:rFonts w:ascii="Times New Roman" w:hAnsi="Times New Roman"/>
          <w:b w:val="false"/>
          <w:bCs w:val="false"/>
          <w:sz w:val="24"/>
          <w:szCs w:val="24"/>
          <w:u w:val="none"/>
          <w:lang w:val="en-US"/>
        </w:rPr>
        <w:t>in its both versions.</w:t>
      </w:r>
    </w:p>
    <w:p>
      <w:pPr>
        <w:pStyle w:val="Normal"/>
        <w:spacing w:lineRule="auto" w:line="480"/>
        <w:jc w:val="both"/>
        <w:rPr>
          <w:sz w:val="24"/>
          <w:szCs w:val="24"/>
          <w:lang w:val="en-US"/>
        </w:rPr>
      </w:pPr>
      <w:r>
        <w:rPr>
          <w:rFonts w:ascii="Times New Roman" w:hAnsi="Times New Roman"/>
          <w:b w:val="false"/>
          <w:bCs w:val="false"/>
          <w:sz w:val="24"/>
          <w:szCs w:val="24"/>
          <w:u w:val="none"/>
          <w:lang w:val="en-US"/>
        </w:rPr>
        <w:t xml:space="preserve">Within the studied region the </w:t>
      </w:r>
      <w:r>
        <w:rPr>
          <w:rFonts w:ascii="Times New Roman" w:hAnsi="Times New Roman"/>
          <w:b w:val="false"/>
          <w:bCs w:val="false"/>
          <w:sz w:val="24"/>
          <w:szCs w:val="24"/>
          <w:u w:val="none"/>
          <w:lang w:val="en-US"/>
        </w:rPr>
        <w:t>model</w:t>
      </w:r>
      <w:r>
        <w:rPr>
          <w:rFonts w:ascii="Times New Roman" w:hAnsi="Times New Roman"/>
          <w:b w:val="false"/>
          <w:bCs w:val="false"/>
          <w:sz w:val="24"/>
          <w:szCs w:val="24"/>
          <w:u w:val="none"/>
          <w:lang w:val="en-US"/>
        </w:rPr>
        <w:t xml:space="preserve"> CAETÊ simulated a total aboveground carbon stock of 127.89 and 85.99 PgC for PFT</w:t>
      </w:r>
      <w:r>
        <w:rPr>
          <w:rFonts w:ascii="Times New Roman" w:hAnsi="Times New Roman"/>
          <w:b w:val="false"/>
          <w:bCs w:val="false"/>
          <w:sz w:val="24"/>
          <w:szCs w:val="24"/>
          <w:u w:val="none"/>
          <w:lang w:val="en-US"/>
        </w:rPr>
        <w:t>A</w:t>
      </w:r>
      <w:r>
        <w:rPr>
          <w:rFonts w:ascii="Times New Roman" w:hAnsi="Times New Roman"/>
          <w:b w:val="false"/>
          <w:bCs w:val="false"/>
          <w:sz w:val="24"/>
          <w:szCs w:val="24"/>
          <w:u w:val="none"/>
          <w:lang w:val="en-US"/>
        </w:rPr>
        <w:t xml:space="preserve"> and </w:t>
      </w:r>
      <w:r>
        <w:rPr>
          <w:rFonts w:ascii="Times New Roman" w:hAnsi="Times New Roman"/>
          <w:b w:val="false"/>
          <w:bCs w:val="false"/>
          <w:sz w:val="24"/>
          <w:szCs w:val="24"/>
          <w:u w:val="none"/>
          <w:lang w:val="en-US"/>
        </w:rPr>
        <w:t>TBA</w:t>
      </w:r>
      <w:r>
        <w:rPr>
          <w:rFonts w:ascii="Times New Roman" w:hAnsi="Times New Roman"/>
          <w:b w:val="false"/>
          <w:bCs w:val="false"/>
          <w:sz w:val="24"/>
          <w:szCs w:val="24"/>
          <w:u w:val="none"/>
          <w:lang w:val="en-US"/>
        </w:rPr>
        <w:t xml:space="preserve">, respectively; </w:t>
      </w:r>
      <w:r>
        <w:rPr>
          <w:rFonts w:ascii="Times New Roman" w:hAnsi="Times New Roman"/>
          <w:b w:val="false"/>
          <w:bCs w:val="false"/>
          <w:sz w:val="24"/>
          <w:szCs w:val="24"/>
          <w:u w:val="none"/>
          <w:lang w:val="en-US"/>
        </w:rPr>
        <w:t>while</w:t>
      </w:r>
      <w:r>
        <w:rPr>
          <w:rFonts w:ascii="Times New Roman" w:hAnsi="Times New Roman"/>
          <w:b w:val="false"/>
          <w:bCs w:val="false"/>
          <w:sz w:val="24"/>
          <w:szCs w:val="24"/>
          <w:u w:val="none"/>
          <w:lang w:val="en-US"/>
        </w:rPr>
        <w:t xml:space="preserve"> Baccini et al. (2012) </w:t>
      </w:r>
      <w:r>
        <w:rPr>
          <w:rFonts w:ascii="Times New Roman" w:hAnsi="Times New Roman"/>
          <w:b w:val="false"/>
          <w:bCs w:val="false"/>
          <w:sz w:val="24"/>
          <w:szCs w:val="24"/>
          <w:u w:val="none"/>
          <w:lang w:val="en-US"/>
        </w:rPr>
        <w:t>estimated 80.23 PgC</w:t>
      </w:r>
      <w:r>
        <w:rPr>
          <w:rFonts w:ascii="Times New Roman" w:hAnsi="Times New Roman"/>
          <w:b w:val="false"/>
          <w:bCs w:val="false"/>
          <w:sz w:val="24"/>
          <w:szCs w:val="24"/>
          <w:u w:val="none"/>
          <w:lang w:val="en-US"/>
        </w:rPr>
        <w:t xml:space="preserve"> and Saatchi et al. (2011) 71.67 </w:t>
      </w:r>
      <w:r>
        <w:rPr>
          <w:rFonts w:ascii="Times New Roman" w:hAnsi="Times New Roman"/>
          <w:b w:val="false"/>
          <w:bCs w:val="false"/>
          <w:sz w:val="24"/>
          <w:szCs w:val="24"/>
          <w:u w:val="none"/>
          <w:lang w:val="en-US"/>
        </w:rPr>
        <w:t xml:space="preserve">PgC; </w:t>
      </w:r>
      <w:r>
        <w:rPr>
          <w:rFonts w:ascii="Times New Roman" w:hAnsi="Times New Roman"/>
          <w:b w:val="false"/>
          <w:bCs w:val="false"/>
          <w:sz w:val="24"/>
          <w:szCs w:val="24"/>
          <w:u w:val="none"/>
          <w:lang w:val="en-US"/>
        </w:rPr>
        <w:t>it demonstrate</w:t>
      </w:r>
      <w:r>
        <w:rPr>
          <w:rFonts w:ascii="Times New Roman" w:hAnsi="Times New Roman"/>
          <w:b w:val="false"/>
          <w:bCs w:val="false"/>
          <w:sz w:val="24"/>
          <w:szCs w:val="24"/>
          <w:u w:val="none"/>
          <w:lang w:val="en-US"/>
        </w:rPr>
        <w:t xml:space="preserve"> that TBA also better agree with references </w:t>
      </w:r>
      <w:r>
        <w:rPr>
          <w:rFonts w:ascii="Times New Roman" w:hAnsi="Times New Roman"/>
          <w:b w:val="false"/>
          <w:bCs w:val="false"/>
          <w:sz w:val="24"/>
          <w:szCs w:val="24"/>
          <w:u w:val="none"/>
          <w:lang w:val="en-US"/>
        </w:rPr>
        <w:t>regarding</w:t>
      </w:r>
      <w:r>
        <w:rPr>
          <w:rFonts w:ascii="Times New Roman" w:hAnsi="Times New Roman"/>
          <w:b w:val="false"/>
          <w:bCs w:val="false"/>
          <w:sz w:val="24"/>
          <w:szCs w:val="24"/>
          <w:u w:val="none"/>
          <w:lang w:val="en-US"/>
        </w:rPr>
        <w:t xml:space="preserve"> total carbon stock</w:t>
      </w:r>
      <w:r>
        <w:rPr>
          <w:rFonts w:ascii="Times New Roman" w:hAnsi="Times New Roman"/>
          <w:b w:val="false"/>
          <w:bCs w:val="false"/>
          <w:sz w:val="24"/>
          <w:szCs w:val="24"/>
          <w:u w:val="none"/>
          <w:lang w:val="en-US"/>
        </w:rPr>
        <w:t xml:space="preserve">. </w:t>
      </w:r>
      <w:commentRangeStart w:id="1"/>
      <w:r>
        <w:rPr>
          <w:rFonts w:ascii="Times New Roman" w:hAnsi="Times New Roman"/>
          <w:b w:val="false"/>
          <w:bCs w:val="false"/>
          <w:sz w:val="24"/>
          <w:szCs w:val="24"/>
          <w:u w:val="none"/>
          <w:lang w:val="en-US"/>
        </w:rPr>
        <w:t xml:space="preserve">Our results </w:t>
      </w:r>
      <w:r>
        <w:rPr>
          <w:rFonts w:ascii="Times New Roman" w:hAnsi="Times New Roman"/>
          <w:b w:val="false"/>
          <w:bCs w:val="false"/>
          <w:sz w:val="24"/>
          <w:szCs w:val="24"/>
          <w:u w:val="none"/>
          <w:lang w:val="en-US"/>
        </w:rPr>
        <w:t>evince</w:t>
      </w:r>
      <w:r>
        <w:rPr>
          <w:rFonts w:ascii="Times New Roman" w:hAnsi="Times New Roman"/>
          <w:b w:val="false"/>
          <w:bCs w:val="false"/>
          <w:sz w:val="24"/>
          <w:szCs w:val="24"/>
          <w:u w:val="none"/>
          <w:lang w:val="en-US"/>
        </w:rPr>
        <w:t xml:space="preserve"> that the inclusion of trait variation in vegetation models in fact plays a paramount role in predicting carbon stock both considering spatial distribution and total values.</w:t>
      </w:r>
      <w:commentRangeEnd w:id="1"/>
      <w:r>
        <w:commentReference w:id="1"/>
      </w:r>
      <w:r>
        <w:rPr>
          <w:rFonts w:ascii="Times New Roman" w:hAnsi="Times New Roman"/>
          <w:b w:val="false"/>
          <w:bCs w:val="false"/>
          <w:sz w:val="24"/>
          <w:szCs w:val="24"/>
          <w:u w:val="none"/>
          <w:lang w:val="en-US"/>
        </w:rPr>
      </w:r>
    </w:p>
    <w:p>
      <w:pPr>
        <w:pStyle w:val="Normal"/>
        <w:spacing w:lineRule="auto" w:line="480"/>
        <w:jc w:val="both"/>
        <w:rPr>
          <w:sz w:val="24"/>
          <w:szCs w:val="24"/>
          <w:lang w:val="en-US"/>
        </w:rPr>
      </w:pPr>
      <w:commentRangeStart w:id="2"/>
      <w:r>
        <w:rPr>
          <w:rFonts w:ascii="Times New Roman" w:hAnsi="Times New Roman"/>
          <w:b w:val="false"/>
          <w:bCs w:val="false"/>
          <w:sz w:val="24"/>
          <w:szCs w:val="24"/>
          <w:u w:val="none"/>
          <w:lang w:val="en-US"/>
        </w:rPr>
        <w:t>I</w:t>
      </w:r>
      <w:r>
        <w:rPr>
          <w:rFonts w:ascii="Times New Roman" w:hAnsi="Times New Roman"/>
          <w:b w:val="false"/>
          <w:bCs w:val="false"/>
          <w:sz w:val="24"/>
          <w:szCs w:val="24"/>
          <w:u w:val="none"/>
          <w:lang w:val="en-US"/>
        </w:rPr>
        <w:t>n situ measurements</w:t>
      </w:r>
      <w:commentRangeEnd w:id="2"/>
      <w:r>
        <w:commentReference w:id="2"/>
      </w:r>
      <w:r>
        <w:rPr>
          <w:rFonts w:ascii="Times New Roman" w:hAnsi="Times New Roman"/>
          <w:b w:val="false"/>
          <w:bCs w:val="false"/>
          <w:sz w:val="24"/>
          <w:szCs w:val="24"/>
          <w:u w:val="none"/>
          <w:lang w:val="en-US"/>
        </w:rPr>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1-05-11T10:56:22Z" w:initials="BR">
    <w:p>
      <w:r>
        <w:rPr>
          <w:rFonts w:eastAsia="Noto Sans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Figura correspondente ao benchmarking de estoque de carbono</w:t>
      </w:r>
    </w:p>
  </w:comment>
  <w:comment w:id="1" w:author="Bianca Rius" w:date="2021-05-11T11:00:10Z" w:initials="BR">
    <w:p>
      <w:r>
        <w:rPr>
          <w:rFonts w:ascii="Liberation Serif" w:hAnsi="Liberation Serif" w:eastAsia="Noto Sans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Carol, vc acha que isso cabe mais à discussão? Também tenho dúvidas se comparações com outros estudos de modelagem devem vir aqui ou na discussão (acredito que seja na discussão)</w:t>
      </w:r>
    </w:p>
  </w:comment>
  <w:comment w:id="2" w:author="Bianca Rius" w:date="2021-05-11T11:03:39Z" w:initials="BR">
    <w:p>
      <w:r>
        <w:rPr>
          <w:rFonts w:eastAsia="Noto Sans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Honestamente não acho que esses gráficos acrescentam muita coisa. Pensei em deixar eles pra lá. O que vc acha?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55"/>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2</Pages>
  <Words>570</Words>
  <Characters>3099</Characters>
  <CharactersWithSpaces>3659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2021-05-11T10:59:45Z</dcterms:created>
  <dc:creator>Bianca Rius</dc:creator>
  <dc:description/>
  <dc:language>en-US</dc:language>
  <cp:lastModifiedBy>Bianca Rius</cp:lastModifiedBy>
  <dcterms:modified xsi:type="dcterms:W3CDTF">2021-05-11T11:04:05Z</dcterms:modified>
  <cp:revision>2</cp:revision>
  <dc:subject/>
  <dc:title/>
</cp:coreProperties>
</file>