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Topics for intro to support the hypothesis:</w:t>
      </w:r>
    </w:p>
    <w:p>
      <w:pPr>
        <w:pStyle w:val="Normal"/>
        <w:rPr/>
      </w:pPr>
      <w:r>
        <w:rPr/>
      </w:r>
    </w:p>
    <w:p>
      <w:pPr>
        <w:pStyle w:val="Normal"/>
        <w:rPr/>
      </w:pPr>
      <w:r>
        <w:rPr/>
        <w:t>- PFT approaches can cause complete loss of vegetation and contribute to our uncertainty in what happens in the future.</w:t>
      </w:r>
    </w:p>
    <w:p>
      <w:pPr>
        <w:pStyle w:val="Normal"/>
        <w:rPr/>
      </w:pPr>
      <w:r>
        <w:rPr/>
        <w:tab/>
      </w:r>
    </w:p>
    <w:p>
      <w:pPr>
        <w:pStyle w:val="Normal"/>
        <w:rPr>
          <w:highlight w:val="red"/>
        </w:rPr>
      </w:pPr>
      <w:r>
        <w:rPr>
          <w:highlight w:val="red"/>
        </w:rPr>
      </w:r>
    </w:p>
    <w:p>
      <w:pPr>
        <w:pStyle w:val="Normal"/>
        <w:rPr>
          <w:highlight w:val="red"/>
        </w:rPr>
      </w:pPr>
      <w:r>
        <w:rPr>
          <w:highlight w:val="red"/>
        </w:rPr>
      </w:r>
    </w:p>
    <w:p>
      <w:pPr>
        <w:pStyle w:val="Normal"/>
        <w:rPr/>
      </w:pPr>
      <w:r>
        <w:rPr>
          <w:highlight w:val="red"/>
        </w:rPr>
        <w:t>- functional reorganization/insurance hypothesis and its role in ecosystems sensitivity to disturbances</w:t>
      </w:r>
    </w:p>
    <w:p>
      <w:pPr>
        <w:pStyle w:val="Normal"/>
        <w:tabs>
          <w:tab w:val="left" w:pos="4678" w:leader="none"/>
        </w:tabs>
        <w:spacing w:lineRule="auto" w:line="480"/>
        <w:jc w:val="both"/>
        <w:rPr>
          <w:i w:val="false"/>
          <w:i w:val="false"/>
          <w:iCs w:val="false"/>
        </w:rPr>
      </w:pPr>
      <w:r>
        <w:rPr>
          <w:i w:val="false"/>
          <w:iCs w:val="false"/>
        </w:rPr>
        <w:t>Functional diversity is ightly connected to ecosystem functioning. The underlying mechanism is that functional traits that compose each plant respond to biotic and abiotic conditions and affect the ecosystem. Then, a change in the environment can have an impact at FD and consequently in ecosystem functioning.</w:t>
      </w:r>
    </w:p>
    <w:p>
      <w:pPr>
        <w:pStyle w:val="Normal"/>
        <w:tabs>
          <w:tab w:val="left" w:pos="4678" w:leader="none"/>
        </w:tabs>
        <w:spacing w:lineRule="auto" w:line="480"/>
        <w:jc w:val="both"/>
        <w:rPr>
          <w:i w:val="false"/>
          <w:i w:val="false"/>
          <w:iCs w:val="false"/>
        </w:rPr>
      </w:pPr>
      <w:r>
        <w:rPr>
          <w:i w:val="false"/>
          <w:iCs w:val="false"/>
        </w:rPr>
        <w:t>it is widely accepted that more taxonomically and functionally diverse communities tend to be less impacted by environmental changes (Cadotte et al., 2011; Mori et al., 2013; Sakschewski et al., 2016; Schmitt et al., 2019). This can be attributed to the fact that higher variability of traits (and plant strategies) also provides higher diversity of responses under new environmental conditions (Mori et al., 2013; Yachi &amp; Lo</w:t>
      </w:r>
      <w:bookmarkStart w:id="0" w:name="__UnoMark__8082_1119252899"/>
      <w:bookmarkStart w:id="1" w:name="__UnoMark__8062_1119252899"/>
      <w:bookmarkStart w:id="2" w:name="__UnoMark__8075_1119252899"/>
      <w:bookmarkStart w:id="3" w:name="__UnoMark__8080_1119252899"/>
      <w:bookmarkEnd w:id="0"/>
      <w:bookmarkEnd w:id="1"/>
      <w:bookmarkEnd w:id="2"/>
      <w:bookmarkEnd w:id="3"/>
      <w:r>
        <w:rPr>
          <w:i w:val="false"/>
          <w:iCs w:val="false"/>
        </w:rPr>
        <w:t>reau, 1999)</w:t>
      </w:r>
      <w:r>
        <w:rPr>
          <w:rFonts w:eastAsia="Segoe UI Symbol" w:cs="Segoe UI Symbol" w:ascii="Segoe UI Symbol" w:hAnsi="Segoe UI Symbol"/>
          <w:i w:val="false"/>
          <w:iCs w:val="false"/>
        </w:rPr>
        <w:t>⁠</w:t>
      </w:r>
      <w:r>
        <w:rPr>
          <w:i w:val="false"/>
          <w:iCs w:val="false"/>
        </w:rPr>
        <w:t xml:space="preserve">. In that sense, our results </w:t>
      </w:r>
      <w:r>
        <w:rPr>
          <w:rStyle w:val="DefaultParagraphFont0"/>
          <w:i w:val="false"/>
          <w:iCs w:val="false"/>
          <w:lang w:eastAsia="en-GB"/>
        </w:rPr>
        <w:t>contribute to reinforcing</w:t>
      </w:r>
      <w:r>
        <w:rPr>
          <w:i w:val="false"/>
          <w:iCs w:val="false"/>
        </w:rPr>
        <w:t xml:space="preserve"> the “insurance hy</w:t>
      </w:r>
      <w:r>
        <w:rPr>
          <w:i w:val="false"/>
          <w:iCs w:val="false"/>
          <w:vanish w:val="false"/>
        </w:rPr>
        <w:commentReference w:id="0"/>
      </w:r>
      <w:r>
        <w:rPr>
          <w:i w:val="false"/>
          <w:iCs w:val="false"/>
        </w:rPr>
        <w:t>pothesis”</w:t>
      </w:r>
      <w:r>
        <w:rPr>
          <w:rStyle w:val="DefaultParagraphFont0"/>
          <w:i w:val="false"/>
          <w:iCs w:val="false"/>
          <w:lang w:eastAsia="en-GB"/>
        </w:rPr>
        <w:t>,</w:t>
      </w:r>
      <w:r>
        <w:rPr>
          <w:i w:val="false"/>
          <w:iCs w:val="false"/>
        </w:rPr>
        <w:t xml:space="preserve"> which postulates that the diversity of responses insures ecosystem functioning by providing a buffer effect against environmental fluctuations (Fauset et al., 2015; Lohbecket al., 2016; Yachi &amp; Loreau, 1999).</w:t>
      </w:r>
    </w:p>
    <w:p>
      <w:pPr>
        <w:pStyle w:val="Normal"/>
        <w:tabs>
          <w:tab w:val="left" w:pos="4678" w:leader="none"/>
        </w:tabs>
        <w:spacing w:lineRule="auto" w:line="480"/>
        <w:jc w:val="both"/>
        <w:rPr>
          <w:i w:val="false"/>
          <w:i w:val="false"/>
          <w:iCs w:val="false"/>
        </w:rPr>
      </w:pPr>
      <w:r>
        <w:rPr>
          <w:rStyle w:val="DefaultParagraphFont0"/>
          <w:i w:val="false"/>
          <w:iCs w:val="false"/>
          <w:lang w:eastAsia="en-GB"/>
        </w:rPr>
        <w:t>From</w:t>
      </w:r>
      <w:r>
        <w:rPr>
          <w:i w:val="false"/>
          <w:iCs w:val="false"/>
        </w:rPr>
        <w:t xml:space="preserve"> a functional perspective, such an effect is expected through a compensation process called “functional density compensation” when the composition (that is, the occurrence or abundance of trait values) of a community adjusts to the new conditions</w:t>
      </w:r>
      <w:r>
        <w:rPr>
          <w:rStyle w:val="DefaultParagraphFont0"/>
          <w:i w:val="false"/>
          <w:iCs w:val="false"/>
          <w:lang w:eastAsia="en-GB"/>
        </w:rPr>
        <w:t>,</w:t>
      </w:r>
      <w:r>
        <w:rPr>
          <w:i w:val="false"/>
          <w:iCs w:val="false"/>
        </w:rPr>
        <w:t xml:space="preserve"> enabling types of </w:t>
      </w:r>
      <w:r>
        <w:rPr>
          <w:rStyle w:val="DefaultParagraphFont0"/>
          <w:i w:val="false"/>
          <w:iCs w:val="false"/>
          <w:lang w:eastAsia="en-GB"/>
        </w:rPr>
        <w:t>plants</w:t>
      </w:r>
      <w:r>
        <w:rPr>
          <w:i w:val="false"/>
          <w:iCs w:val="false"/>
        </w:rPr>
        <w:t xml:space="preserve"> that previously exerted a</w:t>
      </w:r>
      <w:r>
        <w:rPr>
          <w:i w:val="false"/>
          <w:iCs w:val="false"/>
          <w:vanish w:val="false"/>
        </w:rPr>
        <w:commentReference w:id="1"/>
      </w:r>
      <w:r>
        <w:rPr>
          <w:i w:val="false"/>
          <w:iCs w:val="false"/>
        </w:rPr>
        <w:t xml:space="preserve"> less relevant functional role (that is, low density) to increase their dominance and vice</w:t>
      </w:r>
      <w:r>
        <w:rPr>
          <w:rStyle w:val="DefaultParagraphFont0"/>
          <w:i w:val="false"/>
          <w:iCs w:val="false"/>
          <w:lang w:eastAsia="en-GB"/>
        </w:rPr>
        <w:t xml:space="preserve"> </w:t>
      </w:r>
      <w:r>
        <w:rPr>
          <w:i w:val="false"/>
          <w:iCs w:val="false"/>
        </w:rPr>
        <w:t>versa (Mori et al., 2013).</w:t>
      </w:r>
    </w:p>
    <w:p>
      <w:pPr>
        <w:pStyle w:val="Normal"/>
        <w:tabs>
          <w:tab w:val="left" w:pos="4678" w:leader="none"/>
        </w:tabs>
        <w:spacing w:lineRule="auto" w:line="480"/>
        <w:jc w:val="both"/>
        <w:rPr>
          <w:i w:val="false"/>
          <w:i w:val="false"/>
          <w:iCs w:val="false"/>
        </w:rPr>
      </w:pPr>
      <w:r>
        <w:rPr>
          <w:i w:val="false"/>
          <w:iCs w:val="false"/>
        </w:rPr>
        <w:t xml:space="preserve">Functional reorganization of the community compensates </w:t>
      </w:r>
      <w:r>
        <w:rPr>
          <w:rStyle w:val="DefaultParagraphFont0"/>
          <w:i w:val="false"/>
          <w:iCs w:val="false"/>
          <w:lang w:eastAsia="en-GB"/>
        </w:rPr>
        <w:t xml:space="preserve">for </w:t>
      </w:r>
      <w:r>
        <w:rPr>
          <w:i w:val="false"/>
          <w:iCs w:val="false"/>
        </w:rPr>
        <w:t xml:space="preserve">losses or </w:t>
      </w:r>
      <w:r>
        <w:rPr>
          <w:rStyle w:val="DefaultParagraphFont0"/>
          <w:i w:val="false"/>
          <w:iCs w:val="false"/>
          <w:lang w:eastAsia="en-GB"/>
        </w:rPr>
        <w:t>decreases</w:t>
      </w:r>
      <w:r>
        <w:rPr>
          <w:i w:val="false"/>
          <w:iCs w:val="false"/>
        </w:rPr>
        <w:t xml:space="preserve"> in </w:t>
      </w:r>
      <w:r>
        <w:rPr>
          <w:rStyle w:val="DefaultParagraphFont0"/>
          <w:i w:val="false"/>
          <w:iCs w:val="false"/>
          <w:lang w:eastAsia="en-GB"/>
        </w:rPr>
        <w:t xml:space="preserve">the </w:t>
      </w:r>
      <w:r>
        <w:rPr>
          <w:i w:val="false"/>
          <w:iCs w:val="false"/>
        </w:rPr>
        <w:t>dominance of strategies, thus insuring ecosystem functioning (Gonzalez &amp; Loreau, 2009; Mori et al. 2013, , Furukawa, &amp; Sasaki, 2013; Sakschewski et</w:t>
      </w:r>
      <w:bookmarkStart w:id="4" w:name="__UnoMark__8086_1119252899"/>
      <w:bookmarkStart w:id="5" w:name="__UnoMark__8085_1119252899"/>
      <w:bookmarkEnd w:id="4"/>
      <w:bookmarkEnd w:id="5"/>
      <w:r>
        <w:rPr>
          <w:i w:val="false"/>
          <w:iCs w:val="false"/>
        </w:rPr>
        <w:t xml:space="preserve"> al., 2016)</w:t>
      </w:r>
      <w:r>
        <w:rPr>
          <w:rFonts w:eastAsia="Segoe UI Symbol" w:cs="Segoe UI Symbol" w:ascii="Segoe UI Symbol" w:hAnsi="Segoe UI Symbol"/>
          <w:i w:val="false"/>
          <w:iCs w:val="false"/>
        </w:rPr>
        <w:t>⁠</w:t>
      </w:r>
      <w:r>
        <w:rPr>
          <w:i w:val="false"/>
          <w:iCs w:val="false"/>
        </w:rPr>
        <w:t xml:space="preserve">. </w:t>
      </w:r>
    </w:p>
    <w:p>
      <w:pPr>
        <w:pStyle w:val="Normal"/>
        <w:tabs>
          <w:tab w:val="left" w:pos="4678" w:leader="none"/>
        </w:tabs>
        <w:spacing w:lineRule="auto" w:line="480"/>
        <w:jc w:val="both"/>
        <w:rPr>
          <w:i w:val="false"/>
          <w:i w:val="false"/>
          <w:iCs w:val="false"/>
        </w:rPr>
      </w:pPr>
      <w:commentRangeStart w:id="2"/>
      <w:r>
        <w:rPr>
          <w:i w:val="false"/>
          <w:iCs w:val="false"/>
        </w:rPr>
        <w:t>Our model results also reinforce the importance of rare trait values, functional strategies or species for the maintenance of ecosystem processes in future environmental conditions, including tropical forests that commonly present a hyperdominance of species with specific functional traits (Jain et al., 2014; Morera-Beita et al., 2019; Mouillot et al., 2013; van der Sande et al., 2017).</w:t>
      </w:r>
      <w:commentRangeEnd w:id="2"/>
      <w:r>
        <w:commentReference w:id="2"/>
      </w:r>
      <w:r>
        <w:rPr>
          <w:i w:val="false"/>
          <w:iCs w:val="false"/>
        </w:rPr>
      </w:r>
    </w:p>
    <w:p>
      <w:pPr>
        <w:pStyle w:val="Normal"/>
        <w:rPr>
          <w:highlight w:val="red"/>
        </w:rPr>
      </w:pPr>
      <w:r>
        <w:rPr>
          <w:highlight w:val="red"/>
        </w:rPr>
      </w:r>
    </w:p>
    <w:p>
      <w:pPr>
        <w:pStyle w:val="Normal"/>
        <w:rPr/>
      </w:pPr>
      <w:r>
        <w:rPr>
          <w:highlight w:val="red"/>
        </w:rPr>
        <w:t>-changes in functional composition derived from lower precipitation (previous studies showing it)</w:t>
      </w:r>
    </w:p>
    <w:p>
      <w:pPr>
        <w:pStyle w:val="Normal"/>
        <w:rPr>
          <w:highlight w:val="red"/>
        </w:rPr>
      </w:pPr>
      <w:r>
        <w:rPr/>
      </w:r>
    </w:p>
    <w:p>
      <w:pPr>
        <w:pStyle w:val="Normal"/>
        <w:tabs>
          <w:tab w:val="left" w:pos="4678" w:leader="none"/>
        </w:tabs>
        <w:spacing w:lineRule="auto" w:line="480"/>
        <w:jc w:val="both"/>
        <w:rPr/>
      </w:pPr>
      <w:r>
        <w:rPr>
          <w:rFonts w:cs="Liberation Serif;Times New Roman"/>
          <w:color w:val="000000"/>
        </w:rPr>
        <w:t>This highlights that understanding such shifts in carbon partitioning in response to climate change is of crucial relevance for future predictions of Amazon carbon stocks (Doughty et al., 2015; Friedlingstein et al., 2006; Koch et al., 2</w:t>
      </w:r>
      <w:bookmarkStart w:id="6" w:name="__UnoMark__6232_3620121821"/>
      <w:bookmarkStart w:id="7" w:name="__UnoMark__6254_3620121821"/>
      <w:bookmarkStart w:id="8" w:name="__UnoMark__6256_3620121821"/>
      <w:bookmarkStart w:id="9" w:name="__UnoMark__6249_3620121821"/>
      <w:bookmarkEnd w:id="6"/>
      <w:bookmarkEnd w:id="7"/>
      <w:bookmarkEnd w:id="8"/>
      <w:bookmarkEnd w:id="9"/>
      <w:r>
        <w:rPr>
          <w:rFonts w:cs="Liberation Serif;Times New Roman"/>
          <w:color w:val="000000"/>
        </w:rPr>
        <w:t>021)</w:t>
      </w:r>
      <w:r>
        <w:rPr>
          <w:rFonts w:eastAsia="Segoe UI Symbol" w:cs="Segoe UI Symbol" w:ascii="Segoe UI Symbol" w:hAnsi="Segoe UI Symbol"/>
          <w:color w:val="000000"/>
          <w:highlight w:val="red"/>
        </w:rPr>
        <w:t>⁠</w:t>
      </w:r>
    </w:p>
    <w:p>
      <w:pPr>
        <w:pStyle w:val="Normal"/>
        <w:rPr>
          <w:highlight w:val="red"/>
        </w:rPr>
      </w:pPr>
      <w:r>
        <w:rPr>
          <w:highlight w:val="red"/>
        </w:rPr>
      </w:r>
    </w:p>
    <w:p>
      <w:pPr>
        <w:pStyle w:val="Normal"/>
        <w:rPr/>
      </w:pPr>
      <w:r>
        <w:rPr>
          <w:highlight w:val="red"/>
        </w:rPr>
        <w:t>-</w:t>
      </w:r>
      <w:commentRangeStart w:id="3"/>
      <w:r>
        <w:rPr>
          <w:highlight w:val="red"/>
        </w:rPr>
        <w:t>change in carbon investment because of reduced water availability, already observed in previous studies (optimal partitioning theory).</w:t>
      </w:r>
      <w:commentRangeEnd w:id="3"/>
      <w:r>
        <w:commentReference w:id="3"/>
      </w:r>
      <w:r>
        <w:rPr>
          <w:highlight w:val="red"/>
        </w:rPr>
      </w:r>
    </w:p>
    <w:p>
      <w:pPr>
        <w:pStyle w:val="Normal"/>
        <w:tabs>
          <w:tab w:val="left" w:pos="4678" w:leader="none"/>
        </w:tabs>
        <w:spacing w:lineRule="auto" w:line="480"/>
        <w:jc w:val="both"/>
        <w:rPr>
          <w:highlight w:val="red"/>
        </w:rPr>
      </w:pPr>
      <w:commentRangeStart w:id="4"/>
      <w:r>
        <w:rPr>
          <w:rFonts w:cs="Liberation Serif;Times New Roman"/>
          <w:color w:val="000000"/>
        </w:rPr>
        <w:t>This highlights that understanding such shifts in carbon partitioning in response to climate change is of crucial relevance for future predictions of Amazon carbon stocks (Doughty et al., 2015; Friedlingstein et al., 2006; Koch et al., 2</w:t>
      </w:r>
      <w:bookmarkStart w:id="10" w:name="__UnoMark__6232_36201218211"/>
      <w:bookmarkStart w:id="11" w:name="__UnoMark__6254_36201218211"/>
      <w:bookmarkStart w:id="12" w:name="__UnoMark__6256_36201218211"/>
      <w:bookmarkStart w:id="13" w:name="__UnoMark__6249_36201218211"/>
      <w:bookmarkEnd w:id="10"/>
      <w:bookmarkEnd w:id="11"/>
      <w:bookmarkEnd w:id="12"/>
      <w:bookmarkEnd w:id="13"/>
      <w:r>
        <w:rPr>
          <w:rFonts w:cs="Liberation Serif;Times New Roman"/>
          <w:color w:val="000000"/>
        </w:rPr>
        <w:t>021)</w:t>
      </w:r>
      <w:r>
        <w:rPr>
          <w:rFonts w:cs="Liberation Serif;Times New Roman"/>
          <w:color w:val="000000"/>
        </w:rPr>
      </w:r>
      <w:commentRangeEnd w:id="4"/>
      <w:r>
        <w:commentReference w:id="4"/>
      </w:r>
      <w:r>
        <w:rPr>
          <w:rFonts w:eastAsia="Segoe UI Symbol" w:cs="Segoe UI Symbol" w:ascii="Segoe UI Symbol" w:hAnsi="Segoe UI Symbol"/>
          <w:color w:val="000000"/>
          <w:highlight w:val="red"/>
        </w:rPr>
        <w:t>⁠</w:t>
      </w:r>
    </w:p>
    <w:p>
      <w:pPr>
        <w:pStyle w:val="Normal"/>
        <w:rPr>
          <w:highlight w:val="red"/>
        </w:rPr>
      </w:pPr>
      <w:r>
        <w:rPr>
          <w:highlight w:val="red"/>
        </w:rPr>
      </w:r>
    </w:p>
    <w:p>
      <w:pPr>
        <w:pStyle w:val="Normal"/>
        <w:rPr>
          <w:highlight w:val="red"/>
        </w:rPr>
      </w:pPr>
      <w:r>
        <w:rPr>
          <w:highlight w:val="red"/>
        </w:rPr>
      </w:r>
    </w:p>
    <w:p>
      <w:pPr>
        <w:pStyle w:val="Normal"/>
        <w:rPr/>
      </w:pPr>
      <w:r>
        <w:rPr>
          <w:highlight w:val="red"/>
        </w:rPr>
        <w:t>-what is the ecological significance of the different FD components?</w:t>
      </w:r>
    </w:p>
    <w:p>
      <w:pPr>
        <w:pStyle w:val="Normal"/>
        <w:rPr>
          <w:highlight w:val="red"/>
        </w:rPr>
      </w:pPr>
      <w:r>
        <w:rPr>
          <w:highlight w:val="red"/>
        </w:rPr>
      </w:r>
    </w:p>
    <w:p>
      <w:pPr>
        <w:pStyle w:val="Normal"/>
        <w:rPr/>
      </w:pPr>
      <w:r>
        <w:rPr>
          <w:highlight w:val="red"/>
        </w:rPr>
        <w:t>- How the different FD components can respond to climate change? There are previous studies?</w:t>
      </w:r>
    </w:p>
    <w:p>
      <w:pPr>
        <w:pStyle w:val="Normal"/>
        <w:rPr>
          <w:highlight w:val="red"/>
        </w:rPr>
      </w:pPr>
      <w:r>
        <w:rPr>
          <w:highlight w:val="red"/>
        </w:rPr>
      </w:r>
    </w:p>
    <w:p>
      <w:pPr>
        <w:pStyle w:val="Normal"/>
        <w:rPr/>
      </w:pPr>
      <w:r>
        <w:rPr>
          <w:highlight w:val="red"/>
        </w:rPr>
        <w:t>- How the different components of FD can affect the response of ecosystems to disturbances</w:t>
      </w:r>
    </w:p>
    <w:p>
      <w:pPr>
        <w:pStyle w:val="Normal"/>
        <w:rPr>
          <w:highlight w:val="red"/>
        </w:rPr>
      </w:pPr>
      <w:r>
        <w:rPr>
          <w:highlight w:val="red"/>
        </w:rPr>
      </w:r>
    </w:p>
    <w:p>
      <w:pPr>
        <w:pStyle w:val="Normal"/>
        <w:rPr/>
      </w:pPr>
      <w:r>
        <w:rPr>
          <w:highlight w:val="red"/>
        </w:rPr>
        <w:t>- Occupation/utilization of functional trait space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10-24T21:20:00Z" w:initials="BR">
    <w:p>
      <w:r>
        <w:rPr>
          <w:rFonts w:cs="Times New Roman" w:ascii="Times New Roman" w:hAnsi="Times New Roman" w:eastAsia="Times New Roman"/>
          <w:b w:val="false"/>
          <w:bCs w:val="false"/>
          <w:i w:val="false"/>
          <w:iCs w:val="false"/>
          <w:caps w:val="false"/>
          <w:smallCaps w:val="false"/>
          <w:strike w:val="false"/>
          <w:dstrike w:val="false"/>
          <w:outline w:val="false"/>
          <w:shadow w:val="false"/>
          <w:color w:val="auto"/>
          <w:spacing w:val="0"/>
          <w:w w:val="100"/>
          <w:kern w:val="2"/>
          <w:position w:val="0"/>
          <w:sz w:val="20"/>
          <w:szCs w:val="20"/>
          <w:u w:val="none"/>
          <w:vertAlign w:val="baseline"/>
          <w:em w:val="none"/>
          <w:lang w:bidi="ar-SA" w:eastAsia="zh-CN" w:val="en-US"/>
        </w:rPr>
        <w:t>The manuscript structure could benefit further if different ecological hypothesis would be mentioned in the introduction section, which then could be taken up to present the findings obtained from this study in the discussion section!</w:t>
      </w:r>
    </w:p>
  </w:comment>
  <w:comment w:id="1" w:author="Bianca Rius" w:date="2021-10-22T14:49:00Z" w:initials="BR">
    <w:p>
      <w:r>
        <w:rPr>
          <w:rFonts w:cs="Liberation Serif;Times New Roman" w:ascii="Liberation Serif;Times New Roman" w:hAnsi="Liberation Serif;Times New Roman" w:eastAsia="Noto Sans CJK SC"/>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bidi="hi-IN" w:val="en-US" w:eastAsia="zh-CN"/>
        </w:rPr>
        <w:t>Deve ir pra intro</w:t>
      </w:r>
    </w:p>
  </w:comment>
  <w:comment w:id="2" w:author="Bianca Rius" w:date="2021-10-25T09:44:16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Importance of rare traits</w:t>
      </w:r>
    </w:p>
  </w:comment>
  <w:comment w:id="3" w:author="Bianca Rius" w:date="2021-10-20T16:27:58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 questão é que como nós não temos plasticidade dentro dos PLSs, a mudança no investimento é uma mudança na composição da comunidade. Ou seja, seleção de certos valores de atributos funcionais</w:t>
      </w:r>
    </w:p>
  </w:comment>
  <w:comment w:id="4" w:author="Bianca Rius" w:date="2021-10-25T09:54:43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The results depend to which pool the carbon is allocated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goe UI Symbo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0">
    <w:name w:val="Default Paragraph Font_0"/>
    <w:qFormat/>
    <w:rPr>
      <w:lang w:val="en-US" w:bidi="ar-SA"/>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825</TotalTime>
  <Application>LibreOffice/6.0.7.3$Linux_X86_64 LibreOffice_project/00m0$Build-3</Application>
  <Pages>2</Pages>
  <Words>501</Words>
  <Characters>2890</Characters>
  <CharactersWithSpaces>3375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2021-10-20T16:22:58Z</dcterms:created>
  <dc:creator>Bianca Rius</dc:creator>
  <dc:description/>
  <dc:language>en-US</dc:language>
  <cp:lastModifiedBy>Bianca Rius</cp:lastModifiedBy>
  <dcterms:modified xsi:type="dcterms:W3CDTF">2021-10-25T16:10:40Z</dcterms:modified>
  <cp:revision>3</cp:revision>
  <dc:subject/>
  <dc:title/>
</cp:coreProperties>
</file>